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ascii="宋体" w:hAnsi="宋体" w:cs="宋体"/>
          <w:b/>
          <w:sz w:val="36"/>
          <w:szCs w:val="36"/>
        </w:rPr>
      </w:pPr>
      <w:r>
        <w:rPr>
          <w:rFonts w:hint="eastAsia" w:ascii="宋体" w:hAnsi="宋体" w:cs="宋体"/>
          <w:b/>
          <w:sz w:val="36"/>
          <w:szCs w:val="36"/>
        </w:rPr>
        <w:t>水仙药业（建瓯）股份有限公司</w:t>
      </w:r>
    </w:p>
    <w:p>
      <w:pPr>
        <w:snapToGrid w:val="0"/>
        <w:spacing w:line="300" w:lineRule="auto"/>
        <w:jc w:val="center"/>
        <w:rPr>
          <w:rFonts w:ascii="宋体" w:hAnsi="宋体" w:cs="宋体"/>
          <w:b/>
          <w:sz w:val="30"/>
          <w:szCs w:val="30"/>
        </w:rPr>
      </w:pPr>
      <w:r>
        <w:rPr>
          <w:rFonts w:hint="eastAsia" w:ascii="宋体" w:hAnsi="宋体" w:cs="宋体"/>
          <w:b/>
          <w:sz w:val="36"/>
          <w:szCs w:val="52"/>
        </w:rPr>
        <w:t>招标文件</w:t>
      </w:r>
    </w:p>
    <w:p>
      <w:pPr>
        <w:tabs>
          <w:tab w:val="left" w:pos="5550"/>
        </w:tabs>
        <w:adjustRightInd w:val="0"/>
        <w:snapToGrid w:val="0"/>
        <w:spacing w:line="480" w:lineRule="exact"/>
        <w:jc w:val="left"/>
        <w:rPr>
          <w:rFonts w:ascii="宋体" w:hAnsi="宋体"/>
          <w:sz w:val="28"/>
          <w:szCs w:val="28"/>
        </w:rPr>
      </w:pPr>
      <w:r>
        <w:rPr>
          <w:rFonts w:hint="eastAsia" w:ascii="宋体" w:hAnsi="宋体"/>
          <w:b/>
          <w:sz w:val="28"/>
          <w:szCs w:val="28"/>
        </w:rPr>
        <w:t>1.项目名称：制药废水处理工程</w:t>
      </w:r>
    </w:p>
    <w:p>
      <w:pPr>
        <w:tabs>
          <w:tab w:val="left" w:pos="5550"/>
        </w:tabs>
        <w:adjustRightInd w:val="0"/>
        <w:snapToGrid w:val="0"/>
        <w:spacing w:line="480" w:lineRule="exact"/>
        <w:jc w:val="left"/>
        <w:rPr>
          <w:rFonts w:ascii="宋体" w:hAnsi="宋体"/>
          <w:b/>
          <w:sz w:val="28"/>
          <w:szCs w:val="28"/>
        </w:rPr>
      </w:pPr>
      <w:r>
        <w:rPr>
          <w:rFonts w:hint="eastAsia" w:ascii="宋体" w:hAnsi="宋体"/>
          <w:b/>
          <w:sz w:val="28"/>
          <w:szCs w:val="28"/>
        </w:rPr>
        <w:t>2.标的内容、技术规格及要求：</w:t>
      </w:r>
    </w:p>
    <w:p>
      <w:pPr>
        <w:spacing w:line="500" w:lineRule="exact"/>
        <w:rPr>
          <w:rFonts w:ascii="宋体" w:hAnsi="宋体"/>
          <w:spacing w:val="-2"/>
          <w:sz w:val="30"/>
          <w:szCs w:val="30"/>
        </w:rPr>
      </w:pPr>
      <w:r>
        <w:rPr>
          <w:rFonts w:ascii="宋体" w:hAnsi="宋体"/>
          <w:spacing w:val="-2"/>
          <w:sz w:val="30"/>
          <w:szCs w:val="30"/>
        </w:rPr>
        <w:t>2.1</w:t>
      </w:r>
      <w:r>
        <w:rPr>
          <w:rFonts w:hint="eastAsia" w:ascii="宋体" w:hAnsi="宋体"/>
          <w:spacing w:val="-2"/>
          <w:sz w:val="30"/>
          <w:szCs w:val="30"/>
        </w:rPr>
        <w:t>、工程概况</w:t>
      </w:r>
    </w:p>
    <w:p>
      <w:pPr>
        <w:spacing w:line="500" w:lineRule="exact"/>
        <w:ind w:firstLine="472"/>
        <w:rPr>
          <w:rFonts w:ascii="宋体" w:hAnsi="宋体"/>
          <w:spacing w:val="-2"/>
          <w:sz w:val="30"/>
          <w:szCs w:val="30"/>
        </w:rPr>
      </w:pPr>
      <w:r>
        <w:rPr>
          <w:rFonts w:hint="eastAsia" w:ascii="宋体" w:hAnsi="宋体"/>
          <w:spacing w:val="-2"/>
          <w:sz w:val="30"/>
          <w:szCs w:val="30"/>
        </w:rPr>
        <w:t xml:space="preserve">工程名称：水仙药业(建瓯)股份有限公司制药废水处理（EPC总承包）项目 </w:t>
      </w:r>
    </w:p>
    <w:p>
      <w:pPr>
        <w:spacing w:line="500" w:lineRule="exact"/>
        <w:ind w:firstLine="472"/>
        <w:rPr>
          <w:rFonts w:ascii="宋体" w:hAnsi="宋体"/>
          <w:spacing w:val="-2"/>
          <w:sz w:val="30"/>
          <w:szCs w:val="30"/>
        </w:rPr>
      </w:pPr>
      <w:r>
        <w:rPr>
          <w:rFonts w:hint="eastAsia" w:ascii="宋体" w:hAnsi="宋体"/>
          <w:spacing w:val="-2"/>
          <w:sz w:val="30"/>
          <w:szCs w:val="30"/>
        </w:rPr>
        <w:t>工程地点：福建省建瓯市吉苑路11号</w:t>
      </w:r>
    </w:p>
    <w:p>
      <w:pPr>
        <w:spacing w:line="500" w:lineRule="exact"/>
        <w:ind w:firstLine="472"/>
        <w:rPr>
          <w:rFonts w:ascii="宋体" w:hAnsi="宋体"/>
          <w:spacing w:val="-2"/>
          <w:sz w:val="30"/>
          <w:szCs w:val="30"/>
        </w:rPr>
      </w:pPr>
      <w:r>
        <w:rPr>
          <w:rFonts w:hint="eastAsia" w:ascii="宋体" w:hAnsi="宋体"/>
          <w:spacing w:val="-2"/>
          <w:sz w:val="30"/>
          <w:szCs w:val="30"/>
        </w:rPr>
        <w:t>建设规模：</w:t>
      </w:r>
      <w:r>
        <w:rPr>
          <w:rFonts w:hint="eastAsia"/>
          <w:sz w:val="30"/>
          <w:szCs w:val="30"/>
        </w:rPr>
        <w:t>制药废水处理</w:t>
      </w:r>
      <w:r>
        <w:rPr>
          <w:rFonts w:hint="eastAsia" w:ascii="宋体" w:hAnsi="宋体"/>
          <w:spacing w:val="-2"/>
          <w:sz w:val="30"/>
          <w:szCs w:val="30"/>
        </w:rPr>
        <w:t>规模</w:t>
      </w:r>
      <w:r>
        <w:rPr>
          <w:rFonts w:ascii="宋体" w:hAnsi="宋体"/>
          <w:spacing w:val="-2"/>
          <w:sz w:val="30"/>
          <w:szCs w:val="30"/>
        </w:rPr>
        <w:t>200</w:t>
      </w:r>
      <w:r>
        <w:rPr>
          <w:rFonts w:hint="eastAsia" w:ascii="宋体" w:hAnsi="宋体"/>
          <w:spacing w:val="-2"/>
          <w:sz w:val="30"/>
          <w:szCs w:val="30"/>
        </w:rPr>
        <w:t>m</w:t>
      </w:r>
      <w:r>
        <w:rPr>
          <w:rFonts w:hint="eastAsia" w:ascii="宋体" w:hAnsi="宋体"/>
          <w:spacing w:val="-2"/>
          <w:sz w:val="30"/>
          <w:szCs w:val="30"/>
          <w:vertAlign w:val="superscript"/>
        </w:rPr>
        <w:t>3</w:t>
      </w:r>
      <w:r>
        <w:rPr>
          <w:rFonts w:hint="eastAsia" w:ascii="宋体" w:hAnsi="宋体"/>
          <w:spacing w:val="-2"/>
          <w:sz w:val="30"/>
          <w:szCs w:val="30"/>
        </w:rPr>
        <w:t>/d，年处理规模</w:t>
      </w:r>
      <w:r>
        <w:rPr>
          <w:rFonts w:ascii="宋体" w:hAnsi="宋体"/>
          <w:spacing w:val="-2"/>
          <w:sz w:val="30"/>
          <w:szCs w:val="30"/>
        </w:rPr>
        <w:t>73000</w:t>
      </w:r>
      <w:r>
        <w:rPr>
          <w:rFonts w:hint="eastAsia" w:ascii="宋体" w:hAnsi="宋体"/>
          <w:spacing w:val="-2"/>
          <w:sz w:val="30"/>
          <w:szCs w:val="30"/>
        </w:rPr>
        <w:t>m</w:t>
      </w:r>
      <w:r>
        <w:rPr>
          <w:rFonts w:hint="eastAsia" w:ascii="宋体" w:hAnsi="宋体"/>
          <w:spacing w:val="-2"/>
          <w:sz w:val="30"/>
          <w:szCs w:val="30"/>
          <w:vertAlign w:val="superscript"/>
        </w:rPr>
        <w:t>3</w:t>
      </w:r>
      <w:r>
        <w:rPr>
          <w:rFonts w:hint="eastAsia" w:ascii="宋体" w:hAnsi="宋体"/>
          <w:spacing w:val="-2"/>
          <w:sz w:val="30"/>
          <w:szCs w:val="30"/>
        </w:rPr>
        <w:t xml:space="preserve">。 </w:t>
      </w:r>
    </w:p>
    <w:p>
      <w:pPr>
        <w:spacing w:line="500" w:lineRule="exact"/>
        <w:ind w:firstLine="472"/>
        <w:rPr>
          <w:rFonts w:ascii="宋体" w:hAnsi="宋体"/>
          <w:spacing w:val="-2"/>
          <w:sz w:val="30"/>
          <w:szCs w:val="30"/>
        </w:rPr>
      </w:pPr>
      <w:r>
        <w:rPr>
          <w:rFonts w:hint="eastAsia" w:ascii="宋体" w:hAnsi="宋体"/>
          <w:spacing w:val="-2"/>
          <w:sz w:val="30"/>
          <w:szCs w:val="30"/>
        </w:rPr>
        <w:t>出水标准：</w:t>
      </w:r>
      <w:r>
        <w:rPr>
          <w:rFonts w:hint="eastAsia"/>
          <w:sz w:val="30"/>
          <w:szCs w:val="30"/>
        </w:rPr>
        <w:t>《中药类制药工业水污染物排放标准》（GB21906-2008）中表2</w:t>
      </w:r>
      <w:r>
        <w:rPr>
          <w:rFonts w:hint="eastAsia" w:ascii="宋体" w:hAnsi="宋体"/>
          <w:spacing w:val="-2"/>
          <w:sz w:val="30"/>
          <w:szCs w:val="30"/>
        </w:rPr>
        <w:t>标准。</w:t>
      </w:r>
    </w:p>
    <w:p>
      <w:pPr>
        <w:spacing w:line="500" w:lineRule="exact"/>
        <w:rPr>
          <w:rFonts w:ascii="宋体" w:hAnsi="宋体"/>
          <w:spacing w:val="-2"/>
          <w:sz w:val="30"/>
          <w:szCs w:val="30"/>
        </w:rPr>
      </w:pPr>
      <w:r>
        <w:rPr>
          <w:rFonts w:hint="eastAsia" w:ascii="宋体" w:hAnsi="宋体"/>
          <w:spacing w:val="-2"/>
          <w:sz w:val="30"/>
          <w:szCs w:val="30"/>
        </w:rPr>
        <w:t>2</w:t>
      </w:r>
      <w:r>
        <w:rPr>
          <w:rFonts w:ascii="宋体" w:hAnsi="宋体"/>
          <w:spacing w:val="-2"/>
          <w:sz w:val="30"/>
          <w:szCs w:val="30"/>
        </w:rPr>
        <w:t>.2</w:t>
      </w:r>
      <w:r>
        <w:rPr>
          <w:rFonts w:hint="eastAsia" w:ascii="宋体" w:hAnsi="宋体"/>
          <w:spacing w:val="-2"/>
          <w:sz w:val="30"/>
          <w:szCs w:val="30"/>
        </w:rPr>
        <w:t>、设计进水水质</w:t>
      </w:r>
    </w:p>
    <w:p>
      <w:pPr>
        <w:spacing w:line="500" w:lineRule="exact"/>
        <w:ind w:firstLine="472"/>
        <w:rPr>
          <w:rFonts w:ascii="宋体" w:hAnsi="宋体"/>
          <w:spacing w:val="-2"/>
          <w:sz w:val="30"/>
          <w:szCs w:val="30"/>
        </w:rPr>
      </w:pPr>
      <w:r>
        <w:rPr>
          <w:rFonts w:hint="eastAsia" w:ascii="宋体" w:hAnsi="宋体"/>
          <w:spacing w:val="-2"/>
          <w:sz w:val="30"/>
          <w:szCs w:val="30"/>
        </w:rPr>
        <w:t>设计进水水质如下表所示：</w:t>
      </w:r>
    </w:p>
    <w:tbl>
      <w:tblPr>
        <w:tblStyle w:val="14"/>
        <w:tblW w:w="5000"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1428"/>
        <w:gridCol w:w="1174"/>
        <w:gridCol w:w="1450"/>
        <w:gridCol w:w="1450"/>
        <w:gridCol w:w="1450"/>
        <w:gridCol w:w="1451"/>
        <w:gridCol w:w="1451"/>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CellMar>
            <w:top w:w="0" w:type="dxa"/>
            <w:left w:w="108" w:type="dxa"/>
            <w:bottom w:w="0" w:type="dxa"/>
            <w:right w:w="108" w:type="dxa"/>
          </w:tblCellMar>
        </w:tblPrEx>
        <w:trPr>
          <w:trHeight w:val="680" w:hRule="atLeast"/>
          <w:jc w:val="center"/>
        </w:trPr>
        <w:tc>
          <w:tcPr>
            <w:tcW w:w="784" w:type="pct"/>
            <w:vAlign w:val="center"/>
          </w:tcPr>
          <w:p>
            <w:pPr>
              <w:jc w:val="center"/>
              <w:rPr>
                <w:bCs/>
                <w:color w:val="000000"/>
                <w:position w:val="2"/>
                <w:sz w:val="30"/>
                <w:szCs w:val="30"/>
              </w:rPr>
            </w:pPr>
            <w:r>
              <w:rPr>
                <w:bCs/>
                <w:color w:val="000000"/>
                <w:position w:val="2"/>
                <w:sz w:val="30"/>
                <w:szCs w:val="30"/>
              </w:rPr>
              <w:t>进水水量</w:t>
            </w:r>
          </w:p>
          <w:p>
            <w:pPr>
              <w:jc w:val="center"/>
              <w:rPr>
                <w:bCs/>
                <w:color w:val="000000"/>
                <w:position w:val="2"/>
                <w:sz w:val="30"/>
                <w:szCs w:val="30"/>
              </w:rPr>
            </w:pPr>
            <w:r>
              <w:rPr>
                <w:bCs/>
                <w:color w:val="000000"/>
                <w:position w:val="2"/>
                <w:sz w:val="30"/>
                <w:szCs w:val="30"/>
              </w:rPr>
              <w:t>（m</w:t>
            </w:r>
            <w:r>
              <w:rPr>
                <w:bCs/>
                <w:color w:val="000000"/>
                <w:position w:val="2"/>
                <w:sz w:val="30"/>
                <w:szCs w:val="30"/>
                <w:vertAlign w:val="superscript"/>
              </w:rPr>
              <w:t>3</w:t>
            </w:r>
            <w:r>
              <w:rPr>
                <w:bCs/>
                <w:color w:val="000000"/>
                <w:position w:val="2"/>
                <w:sz w:val="30"/>
                <w:szCs w:val="30"/>
              </w:rPr>
              <w:t>/d）</w:t>
            </w:r>
          </w:p>
        </w:tc>
        <w:tc>
          <w:tcPr>
            <w:tcW w:w="703" w:type="pct"/>
            <w:vAlign w:val="center"/>
          </w:tcPr>
          <w:p>
            <w:pPr>
              <w:jc w:val="center"/>
              <w:rPr>
                <w:bCs/>
                <w:color w:val="000000"/>
                <w:position w:val="2"/>
                <w:sz w:val="30"/>
                <w:szCs w:val="30"/>
              </w:rPr>
            </w:pPr>
            <w:r>
              <w:rPr>
                <w:bCs/>
                <w:color w:val="000000"/>
                <w:position w:val="2"/>
                <w:sz w:val="30"/>
                <w:szCs w:val="30"/>
              </w:rPr>
              <w:t>pH</w:t>
            </w:r>
          </w:p>
        </w:tc>
        <w:tc>
          <w:tcPr>
            <w:tcW w:w="703" w:type="pct"/>
            <w:vAlign w:val="center"/>
          </w:tcPr>
          <w:p>
            <w:pPr>
              <w:jc w:val="center"/>
              <w:rPr>
                <w:bCs/>
                <w:color w:val="000000"/>
                <w:position w:val="2"/>
                <w:sz w:val="30"/>
                <w:szCs w:val="30"/>
              </w:rPr>
            </w:pPr>
            <w:r>
              <w:rPr>
                <w:bCs/>
                <w:color w:val="000000"/>
                <w:position w:val="2"/>
                <w:sz w:val="30"/>
                <w:szCs w:val="30"/>
              </w:rPr>
              <w:t>CODcr</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rFonts w:hint="eastAsia"/>
                <w:bCs/>
                <w:color w:val="000000"/>
                <w:position w:val="2"/>
                <w:sz w:val="30"/>
                <w:szCs w:val="30"/>
              </w:rPr>
              <w:t>BOD</w:t>
            </w:r>
            <w:r>
              <w:rPr>
                <w:rFonts w:hint="eastAsia"/>
                <w:bCs/>
                <w:color w:val="000000"/>
                <w:position w:val="2"/>
                <w:sz w:val="30"/>
                <w:szCs w:val="30"/>
                <w:vertAlign w:val="subscript"/>
              </w:rPr>
              <w:t>5</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bCs/>
                <w:color w:val="000000"/>
                <w:position w:val="2"/>
                <w:sz w:val="30"/>
                <w:szCs w:val="30"/>
              </w:rPr>
              <w:t>NH</w:t>
            </w:r>
            <w:r>
              <w:rPr>
                <w:bCs/>
                <w:color w:val="000000"/>
                <w:position w:val="2"/>
                <w:sz w:val="30"/>
                <w:szCs w:val="30"/>
                <w:vertAlign w:val="subscript"/>
              </w:rPr>
              <w:t>3</w:t>
            </w:r>
            <w:r>
              <w:rPr>
                <w:bCs/>
                <w:color w:val="000000"/>
                <w:position w:val="2"/>
                <w:sz w:val="30"/>
                <w:szCs w:val="30"/>
              </w:rPr>
              <w:t>-N</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rFonts w:hint="eastAsia"/>
                <w:bCs/>
                <w:color w:val="000000"/>
                <w:position w:val="2"/>
                <w:sz w:val="30"/>
                <w:szCs w:val="30"/>
              </w:rPr>
              <w:t>总氮</w:t>
            </w:r>
            <w:r>
              <w:rPr>
                <w:bCs/>
                <w:color w:val="000000"/>
                <w:position w:val="2"/>
                <w:sz w:val="30"/>
                <w:szCs w:val="30"/>
              </w:rPr>
              <w:t>（mg/L）</w:t>
            </w:r>
          </w:p>
        </w:tc>
        <w:tc>
          <w:tcPr>
            <w:tcW w:w="701" w:type="pct"/>
            <w:vAlign w:val="center"/>
          </w:tcPr>
          <w:p>
            <w:pPr>
              <w:jc w:val="center"/>
              <w:rPr>
                <w:bCs/>
                <w:color w:val="000000"/>
                <w:position w:val="2"/>
                <w:sz w:val="30"/>
                <w:szCs w:val="30"/>
              </w:rPr>
            </w:pPr>
            <w:r>
              <w:rPr>
                <w:bCs/>
                <w:color w:val="000000"/>
                <w:position w:val="2"/>
                <w:sz w:val="30"/>
                <w:szCs w:val="30"/>
              </w:rPr>
              <w:t>SS</w:t>
            </w:r>
          </w:p>
          <w:p>
            <w:pPr>
              <w:jc w:val="center"/>
              <w:rPr>
                <w:bCs/>
                <w:color w:val="000000"/>
                <w:position w:val="2"/>
                <w:sz w:val="30"/>
                <w:szCs w:val="30"/>
              </w:rPr>
            </w:pPr>
            <w:r>
              <w:rPr>
                <w:bCs/>
                <w:color w:val="000000"/>
                <w:position w:val="2"/>
                <w:sz w:val="30"/>
                <w:szCs w:val="30"/>
              </w:rPr>
              <w:t>（mg/L）</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CellMar>
            <w:top w:w="0" w:type="dxa"/>
            <w:left w:w="108" w:type="dxa"/>
            <w:bottom w:w="0" w:type="dxa"/>
            <w:right w:w="108" w:type="dxa"/>
          </w:tblCellMar>
        </w:tblPrEx>
        <w:trPr>
          <w:trHeight w:val="567" w:hRule="atLeast"/>
          <w:jc w:val="center"/>
        </w:trPr>
        <w:tc>
          <w:tcPr>
            <w:tcW w:w="784" w:type="pct"/>
            <w:vAlign w:val="center"/>
          </w:tcPr>
          <w:p>
            <w:pPr>
              <w:jc w:val="center"/>
              <w:rPr>
                <w:bCs/>
                <w:color w:val="000000"/>
                <w:position w:val="2"/>
                <w:sz w:val="30"/>
                <w:szCs w:val="30"/>
              </w:rPr>
            </w:pPr>
            <w:r>
              <w:rPr>
                <w:rFonts w:hint="eastAsia"/>
                <w:bCs/>
                <w:color w:val="000000"/>
                <w:position w:val="2"/>
                <w:sz w:val="30"/>
                <w:szCs w:val="30"/>
              </w:rPr>
              <w:t>200</w:t>
            </w:r>
          </w:p>
        </w:tc>
        <w:tc>
          <w:tcPr>
            <w:tcW w:w="703" w:type="pct"/>
            <w:vAlign w:val="center"/>
          </w:tcPr>
          <w:p>
            <w:pPr>
              <w:jc w:val="center"/>
              <w:rPr>
                <w:bCs/>
                <w:color w:val="000000"/>
                <w:position w:val="2"/>
                <w:sz w:val="30"/>
                <w:szCs w:val="30"/>
              </w:rPr>
            </w:pPr>
            <w:r>
              <w:rPr>
                <w:rFonts w:hint="eastAsia"/>
                <w:bCs/>
                <w:color w:val="000000"/>
                <w:position w:val="2"/>
                <w:sz w:val="30"/>
                <w:szCs w:val="30"/>
              </w:rPr>
              <w:t>6</w:t>
            </w:r>
            <w:r>
              <w:rPr>
                <w:bCs/>
                <w:color w:val="000000"/>
                <w:position w:val="2"/>
                <w:sz w:val="30"/>
                <w:szCs w:val="30"/>
              </w:rPr>
              <w:t>～</w:t>
            </w:r>
            <w:r>
              <w:rPr>
                <w:rFonts w:hint="eastAsia"/>
                <w:bCs/>
                <w:color w:val="000000"/>
                <w:position w:val="2"/>
                <w:sz w:val="30"/>
                <w:szCs w:val="30"/>
              </w:rPr>
              <w:t>9</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2</w:t>
            </w:r>
            <w:r>
              <w:rPr>
                <w:bCs/>
                <w:color w:val="000000"/>
                <w:position w:val="2"/>
                <w:sz w:val="30"/>
                <w:szCs w:val="30"/>
              </w:rPr>
              <w:t>5</w:t>
            </w:r>
            <w:r>
              <w:rPr>
                <w:rFonts w:hint="eastAsia"/>
                <w:bCs/>
                <w:color w:val="000000"/>
                <w:position w:val="2"/>
                <w:sz w:val="30"/>
                <w:szCs w:val="30"/>
              </w:rPr>
              <w:t>00</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1</w:t>
            </w:r>
            <w:r>
              <w:rPr>
                <w:bCs/>
                <w:color w:val="000000"/>
                <w:position w:val="2"/>
                <w:sz w:val="30"/>
                <w:szCs w:val="30"/>
              </w:rPr>
              <w:t>250</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25</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40</w:t>
            </w:r>
          </w:p>
        </w:tc>
        <w:tc>
          <w:tcPr>
            <w:tcW w:w="701"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400</w:t>
            </w:r>
          </w:p>
        </w:tc>
      </w:tr>
    </w:tbl>
    <w:p>
      <w:pPr>
        <w:spacing w:line="500" w:lineRule="exact"/>
        <w:rPr>
          <w:rFonts w:ascii="宋体" w:hAnsi="宋体"/>
          <w:spacing w:val="-2"/>
          <w:sz w:val="30"/>
          <w:szCs w:val="30"/>
        </w:rPr>
      </w:pPr>
      <w:r>
        <w:rPr>
          <w:rFonts w:ascii="宋体" w:hAnsi="宋体"/>
          <w:spacing w:val="-2"/>
          <w:sz w:val="30"/>
          <w:szCs w:val="30"/>
        </w:rPr>
        <w:t>2.</w:t>
      </w:r>
      <w:r>
        <w:rPr>
          <w:rFonts w:hint="eastAsia" w:ascii="宋体" w:hAnsi="宋体"/>
          <w:spacing w:val="-2"/>
          <w:sz w:val="30"/>
          <w:szCs w:val="30"/>
        </w:rPr>
        <w:t>3、设计出水排放水质</w:t>
      </w:r>
    </w:p>
    <w:p>
      <w:pPr>
        <w:spacing w:line="500" w:lineRule="exact"/>
        <w:ind w:firstLine="472"/>
        <w:rPr>
          <w:rFonts w:ascii="宋体" w:hAnsi="宋体"/>
          <w:spacing w:val="-2"/>
          <w:sz w:val="30"/>
          <w:szCs w:val="30"/>
        </w:rPr>
      </w:pPr>
      <w:r>
        <w:rPr>
          <w:rFonts w:hint="eastAsia" w:ascii="宋体" w:hAnsi="宋体"/>
          <w:spacing w:val="-2"/>
          <w:sz w:val="30"/>
          <w:szCs w:val="30"/>
        </w:rPr>
        <w:t>根据设计文件要求，废水需处理达到《中药类制药工业水污染物排放标准》（GB21906-2008）中表2标准后排放，具体排放指标详见下表。</w:t>
      </w:r>
    </w:p>
    <w:tbl>
      <w:tblPr>
        <w:tblStyle w:val="14"/>
        <w:tblW w:w="5000"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1428"/>
        <w:gridCol w:w="1174"/>
        <w:gridCol w:w="1450"/>
        <w:gridCol w:w="1450"/>
        <w:gridCol w:w="1450"/>
        <w:gridCol w:w="1451"/>
        <w:gridCol w:w="1451"/>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CellMar>
            <w:top w:w="0" w:type="dxa"/>
            <w:left w:w="108" w:type="dxa"/>
            <w:bottom w:w="0" w:type="dxa"/>
            <w:right w:w="108" w:type="dxa"/>
          </w:tblCellMar>
        </w:tblPrEx>
        <w:trPr>
          <w:trHeight w:val="680" w:hRule="atLeast"/>
          <w:jc w:val="center"/>
        </w:trPr>
        <w:tc>
          <w:tcPr>
            <w:tcW w:w="784" w:type="pct"/>
            <w:vAlign w:val="center"/>
          </w:tcPr>
          <w:p>
            <w:pPr>
              <w:jc w:val="center"/>
              <w:rPr>
                <w:bCs/>
                <w:color w:val="000000"/>
                <w:position w:val="2"/>
                <w:sz w:val="30"/>
                <w:szCs w:val="30"/>
              </w:rPr>
            </w:pPr>
            <w:r>
              <w:rPr>
                <w:bCs/>
                <w:color w:val="000000"/>
                <w:position w:val="2"/>
                <w:sz w:val="30"/>
                <w:szCs w:val="30"/>
              </w:rPr>
              <w:t>进水水量</w:t>
            </w:r>
          </w:p>
          <w:p>
            <w:pPr>
              <w:jc w:val="center"/>
              <w:rPr>
                <w:bCs/>
                <w:color w:val="000000"/>
                <w:position w:val="2"/>
                <w:sz w:val="30"/>
                <w:szCs w:val="30"/>
              </w:rPr>
            </w:pPr>
            <w:r>
              <w:rPr>
                <w:bCs/>
                <w:color w:val="000000"/>
                <w:position w:val="2"/>
                <w:sz w:val="30"/>
                <w:szCs w:val="30"/>
              </w:rPr>
              <w:t>（m</w:t>
            </w:r>
            <w:r>
              <w:rPr>
                <w:bCs/>
                <w:color w:val="000000"/>
                <w:position w:val="2"/>
                <w:sz w:val="30"/>
                <w:szCs w:val="30"/>
                <w:vertAlign w:val="superscript"/>
              </w:rPr>
              <w:t>3</w:t>
            </w:r>
            <w:r>
              <w:rPr>
                <w:bCs/>
                <w:color w:val="000000"/>
                <w:position w:val="2"/>
                <w:sz w:val="30"/>
                <w:szCs w:val="30"/>
              </w:rPr>
              <w:t>/d）</w:t>
            </w:r>
          </w:p>
        </w:tc>
        <w:tc>
          <w:tcPr>
            <w:tcW w:w="703" w:type="pct"/>
            <w:vAlign w:val="center"/>
          </w:tcPr>
          <w:p>
            <w:pPr>
              <w:jc w:val="center"/>
              <w:rPr>
                <w:bCs/>
                <w:color w:val="000000"/>
                <w:position w:val="2"/>
                <w:sz w:val="30"/>
                <w:szCs w:val="30"/>
              </w:rPr>
            </w:pPr>
            <w:r>
              <w:rPr>
                <w:bCs/>
                <w:color w:val="000000"/>
                <w:position w:val="2"/>
                <w:sz w:val="30"/>
                <w:szCs w:val="30"/>
              </w:rPr>
              <w:t>pH</w:t>
            </w:r>
          </w:p>
        </w:tc>
        <w:tc>
          <w:tcPr>
            <w:tcW w:w="703" w:type="pct"/>
            <w:vAlign w:val="center"/>
          </w:tcPr>
          <w:p>
            <w:pPr>
              <w:jc w:val="center"/>
              <w:rPr>
                <w:bCs/>
                <w:color w:val="000000"/>
                <w:position w:val="2"/>
                <w:sz w:val="30"/>
                <w:szCs w:val="30"/>
              </w:rPr>
            </w:pPr>
            <w:r>
              <w:rPr>
                <w:bCs/>
                <w:color w:val="000000"/>
                <w:position w:val="2"/>
                <w:sz w:val="30"/>
                <w:szCs w:val="30"/>
              </w:rPr>
              <w:t>CODcr</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rFonts w:hint="eastAsia"/>
                <w:bCs/>
                <w:color w:val="000000"/>
                <w:position w:val="2"/>
                <w:sz w:val="30"/>
                <w:szCs w:val="30"/>
              </w:rPr>
              <w:t>BOD</w:t>
            </w:r>
            <w:r>
              <w:rPr>
                <w:rFonts w:hint="eastAsia"/>
                <w:bCs/>
                <w:color w:val="000000"/>
                <w:position w:val="2"/>
                <w:sz w:val="30"/>
                <w:szCs w:val="30"/>
                <w:vertAlign w:val="subscript"/>
              </w:rPr>
              <w:t>5</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bCs/>
                <w:color w:val="000000"/>
                <w:position w:val="2"/>
                <w:sz w:val="30"/>
                <w:szCs w:val="30"/>
              </w:rPr>
              <w:t>NH</w:t>
            </w:r>
            <w:r>
              <w:rPr>
                <w:bCs/>
                <w:color w:val="000000"/>
                <w:position w:val="2"/>
                <w:sz w:val="30"/>
                <w:szCs w:val="30"/>
                <w:vertAlign w:val="subscript"/>
              </w:rPr>
              <w:t>3</w:t>
            </w:r>
            <w:r>
              <w:rPr>
                <w:bCs/>
                <w:color w:val="000000"/>
                <w:position w:val="2"/>
                <w:sz w:val="30"/>
                <w:szCs w:val="30"/>
              </w:rPr>
              <w:t>-N</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rFonts w:hint="eastAsia"/>
                <w:bCs/>
                <w:color w:val="000000"/>
                <w:position w:val="2"/>
                <w:sz w:val="30"/>
                <w:szCs w:val="30"/>
              </w:rPr>
              <w:t>总氮</w:t>
            </w:r>
            <w:r>
              <w:rPr>
                <w:bCs/>
                <w:color w:val="000000"/>
                <w:position w:val="2"/>
                <w:sz w:val="30"/>
                <w:szCs w:val="30"/>
              </w:rPr>
              <w:t>（mg/L）</w:t>
            </w:r>
          </w:p>
        </w:tc>
        <w:tc>
          <w:tcPr>
            <w:tcW w:w="703" w:type="pct"/>
            <w:vAlign w:val="center"/>
          </w:tcPr>
          <w:p>
            <w:pPr>
              <w:jc w:val="center"/>
              <w:rPr>
                <w:bCs/>
                <w:color w:val="000000"/>
                <w:position w:val="2"/>
                <w:sz w:val="30"/>
                <w:szCs w:val="30"/>
              </w:rPr>
            </w:pPr>
            <w:r>
              <w:rPr>
                <w:bCs/>
                <w:color w:val="000000"/>
                <w:position w:val="2"/>
                <w:sz w:val="30"/>
                <w:szCs w:val="30"/>
              </w:rPr>
              <w:t>SS</w:t>
            </w:r>
          </w:p>
          <w:p>
            <w:pPr>
              <w:jc w:val="center"/>
              <w:rPr>
                <w:bCs/>
                <w:color w:val="000000"/>
                <w:position w:val="2"/>
                <w:sz w:val="30"/>
                <w:szCs w:val="30"/>
              </w:rPr>
            </w:pPr>
            <w:r>
              <w:rPr>
                <w:bCs/>
                <w:color w:val="000000"/>
                <w:position w:val="2"/>
                <w:sz w:val="30"/>
                <w:szCs w:val="30"/>
              </w:rPr>
              <w:t>（mg/L）</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CellMar>
            <w:top w:w="0" w:type="dxa"/>
            <w:left w:w="108" w:type="dxa"/>
            <w:bottom w:w="0" w:type="dxa"/>
            <w:right w:w="108" w:type="dxa"/>
          </w:tblCellMar>
        </w:tblPrEx>
        <w:trPr>
          <w:trHeight w:val="567" w:hRule="atLeast"/>
          <w:jc w:val="center"/>
        </w:trPr>
        <w:tc>
          <w:tcPr>
            <w:tcW w:w="784" w:type="pct"/>
            <w:vAlign w:val="center"/>
          </w:tcPr>
          <w:p>
            <w:pPr>
              <w:jc w:val="center"/>
              <w:rPr>
                <w:bCs/>
                <w:color w:val="000000"/>
                <w:position w:val="2"/>
                <w:sz w:val="30"/>
                <w:szCs w:val="30"/>
              </w:rPr>
            </w:pPr>
            <w:r>
              <w:rPr>
                <w:rFonts w:hint="eastAsia"/>
                <w:bCs/>
                <w:color w:val="000000"/>
                <w:position w:val="2"/>
                <w:sz w:val="30"/>
                <w:szCs w:val="30"/>
              </w:rPr>
              <w:t>200</w:t>
            </w:r>
          </w:p>
        </w:tc>
        <w:tc>
          <w:tcPr>
            <w:tcW w:w="703" w:type="pct"/>
            <w:vAlign w:val="center"/>
          </w:tcPr>
          <w:p>
            <w:pPr>
              <w:jc w:val="center"/>
              <w:rPr>
                <w:bCs/>
                <w:color w:val="000000"/>
                <w:position w:val="2"/>
                <w:sz w:val="30"/>
                <w:szCs w:val="30"/>
              </w:rPr>
            </w:pPr>
            <w:r>
              <w:rPr>
                <w:rFonts w:hint="eastAsia"/>
                <w:bCs/>
                <w:color w:val="000000"/>
                <w:position w:val="2"/>
                <w:sz w:val="30"/>
                <w:szCs w:val="30"/>
              </w:rPr>
              <w:t>6</w:t>
            </w:r>
            <w:r>
              <w:rPr>
                <w:bCs/>
                <w:color w:val="000000"/>
                <w:position w:val="2"/>
                <w:sz w:val="30"/>
                <w:szCs w:val="30"/>
              </w:rPr>
              <w:t>～</w:t>
            </w:r>
            <w:r>
              <w:rPr>
                <w:rFonts w:hint="eastAsia"/>
                <w:bCs/>
                <w:color w:val="000000"/>
                <w:position w:val="2"/>
                <w:sz w:val="30"/>
                <w:szCs w:val="30"/>
              </w:rPr>
              <w:t>9</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100</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20</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8</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20</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50</w:t>
            </w:r>
          </w:p>
        </w:tc>
      </w:tr>
    </w:tbl>
    <w:p>
      <w:pPr>
        <w:spacing w:line="500" w:lineRule="exact"/>
        <w:ind w:firstLine="472"/>
        <w:rPr>
          <w:rFonts w:ascii="宋体" w:hAnsi="宋体"/>
          <w:spacing w:val="-2"/>
          <w:sz w:val="30"/>
          <w:szCs w:val="30"/>
        </w:rPr>
      </w:pPr>
      <w:r>
        <w:rPr>
          <w:rFonts w:hint="eastAsia" w:ascii="宋体" w:hAnsi="宋体"/>
          <w:spacing w:val="-2"/>
          <w:sz w:val="30"/>
          <w:szCs w:val="30"/>
        </w:rPr>
        <w:t>注：《中药类制药工业水污染物排放标准》（GB21906-2008）中表2标准规定的其它排放指标也能达到要求。</w:t>
      </w:r>
    </w:p>
    <w:p>
      <w:pPr>
        <w:spacing w:line="500" w:lineRule="exact"/>
        <w:rPr>
          <w:rFonts w:ascii="宋体" w:hAnsi="宋体"/>
          <w:b/>
          <w:spacing w:val="-2"/>
          <w:sz w:val="30"/>
          <w:szCs w:val="30"/>
        </w:rPr>
      </w:pPr>
      <w:r>
        <w:rPr>
          <w:rFonts w:hint="eastAsia" w:ascii="宋体" w:hAnsi="宋体"/>
          <w:b/>
          <w:spacing w:val="-2"/>
          <w:sz w:val="30"/>
          <w:szCs w:val="30"/>
        </w:rPr>
        <w:t>2.4、本招标出水排放水质</w:t>
      </w:r>
    </w:p>
    <w:tbl>
      <w:tblPr>
        <w:tblStyle w:val="14"/>
        <w:tblW w:w="5000"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1428"/>
        <w:gridCol w:w="1174"/>
        <w:gridCol w:w="1450"/>
        <w:gridCol w:w="1450"/>
        <w:gridCol w:w="1450"/>
        <w:gridCol w:w="1451"/>
        <w:gridCol w:w="1451"/>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CellMar>
            <w:top w:w="0" w:type="dxa"/>
            <w:left w:w="108" w:type="dxa"/>
            <w:bottom w:w="0" w:type="dxa"/>
            <w:right w:w="108" w:type="dxa"/>
          </w:tblCellMar>
        </w:tblPrEx>
        <w:trPr>
          <w:trHeight w:val="680" w:hRule="atLeast"/>
          <w:jc w:val="center"/>
        </w:trPr>
        <w:tc>
          <w:tcPr>
            <w:tcW w:w="784" w:type="pct"/>
            <w:vAlign w:val="center"/>
          </w:tcPr>
          <w:p>
            <w:pPr>
              <w:jc w:val="center"/>
              <w:rPr>
                <w:bCs/>
                <w:color w:val="000000"/>
                <w:position w:val="2"/>
                <w:sz w:val="30"/>
                <w:szCs w:val="30"/>
              </w:rPr>
            </w:pPr>
            <w:r>
              <w:rPr>
                <w:bCs/>
                <w:color w:val="000000"/>
                <w:position w:val="2"/>
                <w:sz w:val="30"/>
                <w:szCs w:val="30"/>
              </w:rPr>
              <w:t>进水水量</w:t>
            </w:r>
          </w:p>
          <w:p>
            <w:pPr>
              <w:jc w:val="center"/>
              <w:rPr>
                <w:bCs/>
                <w:color w:val="000000"/>
                <w:position w:val="2"/>
                <w:sz w:val="30"/>
                <w:szCs w:val="30"/>
              </w:rPr>
            </w:pPr>
            <w:r>
              <w:rPr>
                <w:bCs/>
                <w:color w:val="000000"/>
                <w:position w:val="2"/>
                <w:sz w:val="30"/>
                <w:szCs w:val="30"/>
              </w:rPr>
              <w:t>（m</w:t>
            </w:r>
            <w:r>
              <w:rPr>
                <w:bCs/>
                <w:color w:val="000000"/>
                <w:position w:val="2"/>
                <w:sz w:val="30"/>
                <w:szCs w:val="30"/>
                <w:vertAlign w:val="superscript"/>
              </w:rPr>
              <w:t>3</w:t>
            </w:r>
            <w:r>
              <w:rPr>
                <w:bCs/>
                <w:color w:val="000000"/>
                <w:position w:val="2"/>
                <w:sz w:val="30"/>
                <w:szCs w:val="30"/>
              </w:rPr>
              <w:t>/d）</w:t>
            </w:r>
          </w:p>
        </w:tc>
        <w:tc>
          <w:tcPr>
            <w:tcW w:w="703" w:type="pct"/>
            <w:vAlign w:val="center"/>
          </w:tcPr>
          <w:p>
            <w:pPr>
              <w:jc w:val="center"/>
              <w:rPr>
                <w:bCs/>
                <w:color w:val="000000"/>
                <w:position w:val="2"/>
                <w:sz w:val="30"/>
                <w:szCs w:val="30"/>
              </w:rPr>
            </w:pPr>
            <w:r>
              <w:rPr>
                <w:bCs/>
                <w:color w:val="000000"/>
                <w:position w:val="2"/>
                <w:sz w:val="30"/>
                <w:szCs w:val="30"/>
              </w:rPr>
              <w:t>pH</w:t>
            </w:r>
          </w:p>
        </w:tc>
        <w:tc>
          <w:tcPr>
            <w:tcW w:w="703" w:type="pct"/>
            <w:vAlign w:val="center"/>
          </w:tcPr>
          <w:p>
            <w:pPr>
              <w:jc w:val="center"/>
              <w:rPr>
                <w:bCs/>
                <w:color w:val="000000"/>
                <w:position w:val="2"/>
                <w:sz w:val="30"/>
                <w:szCs w:val="30"/>
              </w:rPr>
            </w:pPr>
            <w:r>
              <w:rPr>
                <w:bCs/>
                <w:color w:val="000000"/>
                <w:position w:val="2"/>
                <w:sz w:val="30"/>
                <w:szCs w:val="30"/>
              </w:rPr>
              <w:t>CODcr</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rFonts w:hint="eastAsia"/>
                <w:bCs/>
                <w:color w:val="000000"/>
                <w:position w:val="2"/>
                <w:sz w:val="30"/>
                <w:szCs w:val="30"/>
              </w:rPr>
              <w:t>BOD</w:t>
            </w:r>
            <w:r>
              <w:rPr>
                <w:rFonts w:hint="eastAsia"/>
                <w:bCs/>
                <w:color w:val="000000"/>
                <w:position w:val="2"/>
                <w:sz w:val="30"/>
                <w:szCs w:val="30"/>
                <w:vertAlign w:val="subscript"/>
              </w:rPr>
              <w:t>5</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bCs/>
                <w:color w:val="000000"/>
                <w:position w:val="2"/>
                <w:sz w:val="30"/>
                <w:szCs w:val="30"/>
              </w:rPr>
              <w:t>NH</w:t>
            </w:r>
            <w:r>
              <w:rPr>
                <w:bCs/>
                <w:color w:val="000000"/>
                <w:position w:val="2"/>
                <w:sz w:val="30"/>
                <w:szCs w:val="30"/>
                <w:vertAlign w:val="subscript"/>
              </w:rPr>
              <w:t>3</w:t>
            </w:r>
            <w:r>
              <w:rPr>
                <w:bCs/>
                <w:color w:val="000000"/>
                <w:position w:val="2"/>
                <w:sz w:val="30"/>
                <w:szCs w:val="30"/>
              </w:rPr>
              <w:t>-N</w:t>
            </w:r>
          </w:p>
          <w:p>
            <w:pPr>
              <w:jc w:val="center"/>
              <w:rPr>
                <w:bCs/>
                <w:color w:val="000000"/>
                <w:position w:val="2"/>
                <w:sz w:val="30"/>
                <w:szCs w:val="30"/>
              </w:rPr>
            </w:pPr>
            <w:r>
              <w:rPr>
                <w:bCs/>
                <w:color w:val="000000"/>
                <w:position w:val="2"/>
                <w:sz w:val="30"/>
                <w:szCs w:val="30"/>
              </w:rPr>
              <w:t>（mg/L）</w:t>
            </w:r>
          </w:p>
        </w:tc>
        <w:tc>
          <w:tcPr>
            <w:tcW w:w="703" w:type="pct"/>
            <w:vAlign w:val="center"/>
          </w:tcPr>
          <w:p>
            <w:pPr>
              <w:jc w:val="center"/>
              <w:rPr>
                <w:bCs/>
                <w:color w:val="000000"/>
                <w:position w:val="2"/>
                <w:sz w:val="30"/>
                <w:szCs w:val="30"/>
              </w:rPr>
            </w:pPr>
            <w:r>
              <w:rPr>
                <w:rFonts w:hint="eastAsia"/>
                <w:bCs/>
                <w:color w:val="000000"/>
                <w:position w:val="2"/>
                <w:sz w:val="30"/>
                <w:szCs w:val="30"/>
              </w:rPr>
              <w:t>总氮</w:t>
            </w:r>
            <w:r>
              <w:rPr>
                <w:bCs/>
                <w:color w:val="000000"/>
                <w:position w:val="2"/>
                <w:sz w:val="30"/>
                <w:szCs w:val="30"/>
              </w:rPr>
              <w:t>（mg/L）</w:t>
            </w:r>
          </w:p>
        </w:tc>
        <w:tc>
          <w:tcPr>
            <w:tcW w:w="703" w:type="pct"/>
            <w:vAlign w:val="center"/>
          </w:tcPr>
          <w:p>
            <w:pPr>
              <w:jc w:val="center"/>
              <w:rPr>
                <w:bCs/>
                <w:color w:val="000000"/>
                <w:position w:val="2"/>
                <w:sz w:val="30"/>
                <w:szCs w:val="30"/>
              </w:rPr>
            </w:pPr>
            <w:r>
              <w:rPr>
                <w:bCs/>
                <w:color w:val="000000"/>
                <w:position w:val="2"/>
                <w:sz w:val="30"/>
                <w:szCs w:val="30"/>
              </w:rPr>
              <w:t>SS</w:t>
            </w:r>
          </w:p>
          <w:p>
            <w:pPr>
              <w:jc w:val="center"/>
              <w:rPr>
                <w:bCs/>
                <w:color w:val="000000"/>
                <w:position w:val="2"/>
                <w:sz w:val="30"/>
                <w:szCs w:val="30"/>
              </w:rPr>
            </w:pPr>
            <w:r>
              <w:rPr>
                <w:bCs/>
                <w:color w:val="000000"/>
                <w:position w:val="2"/>
                <w:sz w:val="30"/>
                <w:szCs w:val="30"/>
              </w:rPr>
              <w:t>（mg/L）</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6" w:space="0"/>
          </w:tblBorders>
          <w:tblCellMar>
            <w:top w:w="0" w:type="dxa"/>
            <w:left w:w="108" w:type="dxa"/>
            <w:bottom w:w="0" w:type="dxa"/>
            <w:right w:w="108" w:type="dxa"/>
          </w:tblCellMar>
        </w:tblPrEx>
        <w:trPr>
          <w:trHeight w:val="567" w:hRule="atLeast"/>
          <w:jc w:val="center"/>
        </w:trPr>
        <w:tc>
          <w:tcPr>
            <w:tcW w:w="784" w:type="pct"/>
            <w:vAlign w:val="center"/>
          </w:tcPr>
          <w:p>
            <w:pPr>
              <w:jc w:val="center"/>
              <w:rPr>
                <w:bCs/>
                <w:color w:val="000000"/>
                <w:position w:val="2"/>
                <w:sz w:val="30"/>
                <w:szCs w:val="30"/>
              </w:rPr>
            </w:pPr>
            <w:r>
              <w:rPr>
                <w:rFonts w:hint="eastAsia"/>
                <w:bCs/>
                <w:color w:val="000000"/>
                <w:position w:val="2"/>
                <w:sz w:val="30"/>
                <w:szCs w:val="30"/>
              </w:rPr>
              <w:t>200</w:t>
            </w:r>
          </w:p>
        </w:tc>
        <w:tc>
          <w:tcPr>
            <w:tcW w:w="703" w:type="pct"/>
            <w:vAlign w:val="center"/>
          </w:tcPr>
          <w:p>
            <w:pPr>
              <w:jc w:val="center"/>
              <w:rPr>
                <w:bCs/>
                <w:color w:val="000000"/>
                <w:position w:val="2"/>
                <w:sz w:val="30"/>
                <w:szCs w:val="30"/>
              </w:rPr>
            </w:pPr>
            <w:r>
              <w:rPr>
                <w:rFonts w:hint="eastAsia"/>
                <w:bCs/>
                <w:color w:val="000000"/>
                <w:position w:val="2"/>
                <w:sz w:val="30"/>
                <w:szCs w:val="30"/>
              </w:rPr>
              <w:t>6</w:t>
            </w:r>
            <w:r>
              <w:rPr>
                <w:bCs/>
                <w:color w:val="000000"/>
                <w:position w:val="2"/>
                <w:sz w:val="30"/>
                <w:szCs w:val="30"/>
              </w:rPr>
              <w:t>～</w:t>
            </w:r>
            <w:r>
              <w:rPr>
                <w:rFonts w:hint="eastAsia"/>
                <w:bCs/>
                <w:color w:val="000000"/>
                <w:position w:val="2"/>
                <w:sz w:val="30"/>
                <w:szCs w:val="30"/>
              </w:rPr>
              <w:t>9</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80</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16</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6</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16</w:t>
            </w:r>
          </w:p>
        </w:tc>
        <w:tc>
          <w:tcPr>
            <w:tcW w:w="703" w:type="pct"/>
            <w:vAlign w:val="center"/>
          </w:tcPr>
          <w:p>
            <w:pPr>
              <w:jc w:val="center"/>
              <w:rPr>
                <w:bCs/>
                <w:color w:val="000000"/>
                <w:position w:val="2"/>
                <w:sz w:val="30"/>
                <w:szCs w:val="30"/>
              </w:rPr>
            </w:pPr>
            <w:r>
              <w:rPr>
                <w:bCs/>
                <w:color w:val="000000"/>
                <w:position w:val="2"/>
                <w:sz w:val="30"/>
                <w:szCs w:val="30"/>
              </w:rPr>
              <w:t>≤</w:t>
            </w:r>
            <w:r>
              <w:rPr>
                <w:rFonts w:hint="eastAsia"/>
                <w:bCs/>
                <w:color w:val="000000"/>
                <w:position w:val="2"/>
                <w:sz w:val="30"/>
                <w:szCs w:val="30"/>
              </w:rPr>
              <w:t>40</w:t>
            </w:r>
          </w:p>
        </w:tc>
      </w:tr>
    </w:tbl>
    <w:p>
      <w:pPr>
        <w:spacing w:line="500" w:lineRule="exact"/>
        <w:rPr>
          <w:rFonts w:hint="eastAsia" w:ascii="宋体" w:hAnsi="宋体"/>
          <w:spacing w:val="-2"/>
          <w:sz w:val="30"/>
          <w:szCs w:val="30"/>
          <w:lang w:eastAsia="zh-CN"/>
        </w:rPr>
      </w:pPr>
      <w:r>
        <w:rPr>
          <w:rFonts w:ascii="宋体" w:hAnsi="宋体"/>
          <w:spacing w:val="-2"/>
          <w:sz w:val="30"/>
          <w:szCs w:val="30"/>
        </w:rPr>
        <w:t>2.</w:t>
      </w:r>
      <w:r>
        <w:rPr>
          <w:rFonts w:hint="eastAsia" w:ascii="宋体" w:hAnsi="宋体"/>
          <w:spacing w:val="-2"/>
          <w:sz w:val="30"/>
          <w:szCs w:val="30"/>
        </w:rPr>
        <w:t>5、设计方案及技术要求</w:t>
      </w:r>
      <w:r>
        <w:rPr>
          <w:rFonts w:hint="eastAsia" w:ascii="宋体" w:hAnsi="宋体"/>
          <w:spacing w:val="-2"/>
          <w:sz w:val="30"/>
          <w:szCs w:val="30"/>
          <w:lang w:eastAsia="zh-CN"/>
        </w:rPr>
        <w:t>：</w:t>
      </w:r>
    </w:p>
    <w:p>
      <w:pPr>
        <w:spacing w:line="500" w:lineRule="exact"/>
        <w:ind w:firstLine="592" w:firstLineChars="200"/>
        <w:rPr>
          <w:rFonts w:hint="default" w:ascii="宋体" w:hAnsi="宋体" w:eastAsia="宋体"/>
          <w:spacing w:val="-2"/>
          <w:sz w:val="30"/>
          <w:szCs w:val="30"/>
          <w:lang w:val="en-US" w:eastAsia="zh-CN"/>
        </w:rPr>
      </w:pPr>
      <w:r>
        <w:rPr>
          <w:rFonts w:hint="eastAsia" w:ascii="宋体" w:hAnsi="宋体"/>
          <w:spacing w:val="-2"/>
          <w:sz w:val="30"/>
          <w:szCs w:val="30"/>
        </w:rPr>
        <w:t>详见附件</w:t>
      </w:r>
      <w:r>
        <w:rPr>
          <w:rFonts w:hint="eastAsia" w:ascii="宋体" w:hAnsi="宋体"/>
          <w:spacing w:val="-2"/>
          <w:sz w:val="30"/>
          <w:szCs w:val="30"/>
          <w:lang w:val="en-US" w:eastAsia="zh-CN"/>
        </w:rPr>
        <w:t>一：设计方案，附件二：建筑施工图+结构施工图</w:t>
      </w:r>
    </w:p>
    <w:p>
      <w:pPr>
        <w:tabs>
          <w:tab w:val="left" w:pos="5550"/>
        </w:tabs>
        <w:adjustRightInd w:val="0"/>
        <w:snapToGrid w:val="0"/>
        <w:spacing w:line="480" w:lineRule="exact"/>
        <w:jc w:val="left"/>
        <w:rPr>
          <w:rFonts w:ascii="宋体" w:hAnsi="宋体"/>
          <w:sz w:val="28"/>
          <w:szCs w:val="28"/>
        </w:rPr>
      </w:pPr>
      <w:r>
        <w:rPr>
          <w:rFonts w:hint="eastAsia" w:ascii="宋体" w:hAnsi="宋体"/>
          <w:sz w:val="28"/>
          <w:szCs w:val="28"/>
        </w:rPr>
        <w:t>2.6、其它要求：</w:t>
      </w:r>
    </w:p>
    <w:p>
      <w:pPr>
        <w:snapToGrid w:val="0"/>
        <w:spacing w:line="500" w:lineRule="exact"/>
        <w:ind w:firstLine="480"/>
        <w:jc w:val="left"/>
        <w:rPr>
          <w:rFonts w:ascii="宋体" w:hAnsi="宋体" w:cs="Arial"/>
          <w:color w:val="auto"/>
          <w:kern w:val="0"/>
          <w:sz w:val="30"/>
          <w:szCs w:val="30"/>
        </w:rPr>
      </w:pPr>
      <w:r>
        <w:rPr>
          <w:rFonts w:hint="eastAsia" w:ascii="宋体" w:hAnsi="宋体" w:cs="Arial"/>
          <w:kern w:val="0"/>
          <w:sz w:val="30"/>
          <w:szCs w:val="30"/>
        </w:rPr>
        <w:t>1）、以上技术标准和要求只是对工程的一些原则性要求，并不是详尽的要求，</w:t>
      </w:r>
      <w:r>
        <w:rPr>
          <w:rFonts w:hint="eastAsia" w:ascii="宋体" w:hAnsi="宋体" w:cs="Arial"/>
          <w:kern w:val="0"/>
          <w:sz w:val="30"/>
          <w:szCs w:val="30"/>
          <w:lang w:eastAsia="zh-CN"/>
        </w:rPr>
        <w:t>投标人</w:t>
      </w:r>
      <w:r>
        <w:rPr>
          <w:rFonts w:hint="eastAsia" w:ascii="宋体" w:hAnsi="宋体" w:cs="Arial"/>
          <w:kern w:val="0"/>
          <w:sz w:val="30"/>
          <w:szCs w:val="30"/>
        </w:rPr>
        <w:t>有责任对工</w:t>
      </w:r>
      <w:r>
        <w:rPr>
          <w:rFonts w:hint="eastAsia" w:ascii="宋体" w:hAnsi="宋体" w:cs="Arial"/>
          <w:color w:val="auto"/>
          <w:kern w:val="0"/>
          <w:sz w:val="30"/>
          <w:szCs w:val="30"/>
        </w:rPr>
        <w:t>程符合技术规范、标准负责。</w:t>
      </w:r>
      <w:r>
        <w:rPr>
          <w:rFonts w:hint="eastAsia" w:ascii="宋体" w:hAnsi="宋体" w:cs="Arial"/>
          <w:color w:val="auto"/>
          <w:kern w:val="0"/>
          <w:sz w:val="30"/>
          <w:szCs w:val="30"/>
          <w:lang w:eastAsia="zh-CN"/>
        </w:rPr>
        <w:t>中标人</w:t>
      </w:r>
      <w:r>
        <w:rPr>
          <w:rFonts w:hint="eastAsia" w:ascii="宋体" w:hAnsi="宋体" w:cs="Arial"/>
          <w:color w:val="auto"/>
          <w:kern w:val="0"/>
          <w:sz w:val="30"/>
          <w:szCs w:val="30"/>
        </w:rPr>
        <w:t>应对投标内容所涉及的专利承担责任，并负责保护</w:t>
      </w:r>
      <w:r>
        <w:rPr>
          <w:rFonts w:hint="eastAsia" w:ascii="宋体" w:hAnsi="宋体" w:cs="Arial"/>
          <w:color w:val="auto"/>
          <w:kern w:val="0"/>
          <w:sz w:val="30"/>
          <w:szCs w:val="30"/>
          <w:lang w:eastAsia="zh-CN"/>
        </w:rPr>
        <w:t>招标人</w:t>
      </w:r>
      <w:r>
        <w:rPr>
          <w:rFonts w:hint="eastAsia" w:ascii="宋体" w:hAnsi="宋体" w:cs="Arial"/>
          <w:color w:val="auto"/>
          <w:kern w:val="0"/>
          <w:sz w:val="30"/>
          <w:szCs w:val="30"/>
        </w:rPr>
        <w:t>的利益不受任何损害。一切由于文字、商标、技术专利引起的法律</w:t>
      </w:r>
      <w:r>
        <w:rPr>
          <w:rFonts w:hint="eastAsia" w:ascii="宋体" w:hAnsi="宋体" w:cs="Arial"/>
          <w:color w:val="auto"/>
          <w:kern w:val="0"/>
          <w:sz w:val="30"/>
          <w:szCs w:val="30"/>
          <w:highlight w:val="none"/>
          <w:lang w:eastAsia="zh-CN"/>
        </w:rPr>
        <w:t>责任</w:t>
      </w:r>
      <w:r>
        <w:rPr>
          <w:rFonts w:hint="eastAsia" w:ascii="宋体" w:hAnsi="宋体" w:cs="Arial"/>
          <w:color w:val="auto"/>
          <w:kern w:val="0"/>
          <w:sz w:val="30"/>
          <w:szCs w:val="30"/>
        </w:rPr>
        <w:t>和费用均与</w:t>
      </w:r>
      <w:r>
        <w:rPr>
          <w:rFonts w:hint="eastAsia" w:ascii="宋体" w:hAnsi="宋体" w:cs="Arial"/>
          <w:color w:val="auto"/>
          <w:kern w:val="0"/>
          <w:sz w:val="30"/>
          <w:szCs w:val="30"/>
          <w:lang w:eastAsia="zh-CN"/>
        </w:rPr>
        <w:t>招标人</w:t>
      </w:r>
      <w:r>
        <w:rPr>
          <w:rFonts w:hint="eastAsia" w:ascii="宋体" w:hAnsi="宋体" w:cs="Arial"/>
          <w:color w:val="auto"/>
          <w:kern w:val="0"/>
          <w:sz w:val="30"/>
          <w:szCs w:val="30"/>
        </w:rPr>
        <w:t>无关。</w:t>
      </w:r>
    </w:p>
    <w:p>
      <w:pPr>
        <w:snapToGrid w:val="0"/>
        <w:spacing w:line="500" w:lineRule="exact"/>
        <w:ind w:firstLine="480"/>
        <w:jc w:val="left"/>
        <w:rPr>
          <w:rFonts w:ascii="宋体" w:hAnsi="宋体" w:cs="Arial"/>
          <w:color w:val="auto"/>
          <w:kern w:val="0"/>
          <w:sz w:val="30"/>
          <w:szCs w:val="30"/>
        </w:rPr>
      </w:pPr>
      <w:r>
        <w:rPr>
          <w:rFonts w:hint="eastAsia" w:ascii="宋体" w:hAnsi="宋体" w:cs="Arial"/>
          <w:color w:val="auto"/>
          <w:kern w:val="0"/>
          <w:sz w:val="30"/>
          <w:szCs w:val="30"/>
        </w:rPr>
        <w:t>2）、</w:t>
      </w:r>
      <w:r>
        <w:rPr>
          <w:rFonts w:hint="eastAsia" w:ascii="宋体" w:hAnsi="宋体" w:cs="Arial"/>
          <w:color w:val="auto"/>
          <w:kern w:val="0"/>
          <w:sz w:val="30"/>
          <w:szCs w:val="30"/>
          <w:lang w:eastAsia="zh-CN"/>
        </w:rPr>
        <w:t>投标人</w:t>
      </w:r>
      <w:r>
        <w:rPr>
          <w:rFonts w:hint="eastAsia" w:ascii="宋体" w:hAnsi="宋体" w:cs="Arial"/>
          <w:color w:val="auto"/>
          <w:kern w:val="0"/>
          <w:sz w:val="30"/>
          <w:szCs w:val="30"/>
        </w:rPr>
        <w:t>应在投标截止日前自行到项目现场仔细踏勘，</w:t>
      </w:r>
      <w:r>
        <w:rPr>
          <w:rFonts w:hint="eastAsia" w:ascii="宋体" w:hAnsi="宋体" w:cs="Arial"/>
          <w:color w:val="auto"/>
          <w:kern w:val="0"/>
          <w:sz w:val="30"/>
          <w:szCs w:val="30"/>
          <w:lang w:eastAsia="zh-CN"/>
        </w:rPr>
        <w:t>并</w:t>
      </w:r>
      <w:r>
        <w:rPr>
          <w:rFonts w:hint="eastAsia" w:ascii="宋体" w:hAnsi="宋体" w:cs="Arial"/>
          <w:color w:val="auto"/>
          <w:kern w:val="0"/>
          <w:sz w:val="30"/>
          <w:szCs w:val="30"/>
        </w:rPr>
        <w:t>考虑对原有设施的充分利用，</w:t>
      </w:r>
      <w:r>
        <w:rPr>
          <w:rFonts w:hint="eastAsia" w:ascii="宋体" w:hAnsi="宋体" w:cs="Arial"/>
          <w:color w:val="auto"/>
          <w:kern w:val="0"/>
          <w:sz w:val="30"/>
          <w:szCs w:val="30"/>
          <w:lang w:eastAsia="zh-CN"/>
        </w:rPr>
        <w:t>特别</w:t>
      </w:r>
      <w:r>
        <w:rPr>
          <w:rFonts w:hint="eastAsia" w:ascii="宋体" w:hAnsi="宋体" w:cs="Arial"/>
          <w:color w:val="auto"/>
          <w:kern w:val="0"/>
          <w:sz w:val="30"/>
          <w:szCs w:val="30"/>
        </w:rPr>
        <w:t>注意新设施</w:t>
      </w:r>
      <w:r>
        <w:rPr>
          <w:rFonts w:hint="eastAsia" w:ascii="宋体" w:hAnsi="宋体" w:cs="Arial"/>
          <w:color w:val="auto"/>
          <w:kern w:val="0"/>
          <w:sz w:val="30"/>
          <w:szCs w:val="30"/>
          <w:lang w:eastAsia="zh-CN"/>
        </w:rPr>
        <w:t>与</w:t>
      </w:r>
      <w:r>
        <w:rPr>
          <w:rFonts w:hint="eastAsia" w:ascii="宋体" w:hAnsi="宋体" w:cs="Arial"/>
          <w:color w:val="auto"/>
          <w:kern w:val="0"/>
          <w:sz w:val="30"/>
          <w:szCs w:val="30"/>
        </w:rPr>
        <w:t>原有排放口的合理衔接。对照设计方案，掌握本项目的内容，准确编制报价。</w:t>
      </w:r>
      <w:r>
        <w:rPr>
          <w:rFonts w:hint="eastAsia" w:ascii="宋体" w:hAnsi="宋体" w:cs="Arial"/>
          <w:color w:val="auto"/>
          <w:kern w:val="0"/>
          <w:sz w:val="30"/>
          <w:szCs w:val="30"/>
          <w:lang w:eastAsia="zh-CN"/>
        </w:rPr>
        <w:t>投标人因</w:t>
      </w:r>
      <w:r>
        <w:rPr>
          <w:rFonts w:hint="eastAsia" w:ascii="宋体" w:hAnsi="宋体" w:cs="Arial"/>
          <w:color w:val="auto"/>
          <w:kern w:val="0"/>
          <w:sz w:val="30"/>
          <w:szCs w:val="30"/>
        </w:rPr>
        <w:t>未勘察现场、未仔细勘察或未仔细审阅施工图，造成对项目内容理解不全的，由</w:t>
      </w:r>
      <w:r>
        <w:rPr>
          <w:rFonts w:hint="eastAsia" w:ascii="宋体" w:hAnsi="宋体" w:cs="Arial"/>
          <w:color w:val="auto"/>
          <w:kern w:val="0"/>
          <w:sz w:val="30"/>
          <w:szCs w:val="30"/>
          <w:lang w:eastAsia="zh-CN"/>
        </w:rPr>
        <w:t>投标人</w:t>
      </w:r>
      <w:r>
        <w:rPr>
          <w:rFonts w:hint="eastAsia" w:ascii="宋体" w:hAnsi="宋体" w:cs="Arial"/>
          <w:color w:val="auto"/>
          <w:kern w:val="0"/>
          <w:sz w:val="30"/>
          <w:szCs w:val="30"/>
        </w:rPr>
        <w:t>自行负责。踏勘现场所发生的一切费用由</w:t>
      </w:r>
      <w:r>
        <w:rPr>
          <w:rFonts w:hint="eastAsia" w:ascii="宋体" w:hAnsi="宋体" w:cs="Arial"/>
          <w:color w:val="auto"/>
          <w:kern w:val="0"/>
          <w:sz w:val="30"/>
          <w:szCs w:val="30"/>
          <w:lang w:eastAsia="zh-CN"/>
        </w:rPr>
        <w:t>投标人</w:t>
      </w:r>
      <w:r>
        <w:rPr>
          <w:rFonts w:hint="eastAsia" w:ascii="宋体" w:hAnsi="宋体" w:cs="Arial"/>
          <w:color w:val="auto"/>
          <w:kern w:val="0"/>
          <w:sz w:val="30"/>
          <w:szCs w:val="30"/>
        </w:rPr>
        <w:t>自行负责。</w:t>
      </w:r>
    </w:p>
    <w:p>
      <w:pPr>
        <w:snapToGrid w:val="0"/>
        <w:spacing w:line="500" w:lineRule="exact"/>
        <w:ind w:firstLine="480"/>
        <w:jc w:val="left"/>
        <w:rPr>
          <w:rFonts w:ascii="宋体" w:hAnsi="宋体" w:cs="Arial"/>
          <w:color w:val="auto"/>
          <w:kern w:val="0"/>
          <w:sz w:val="30"/>
          <w:szCs w:val="30"/>
        </w:rPr>
      </w:pPr>
      <w:r>
        <w:rPr>
          <w:rFonts w:hint="eastAsia" w:ascii="宋体" w:hAnsi="宋体" w:cs="Arial"/>
          <w:color w:val="auto"/>
          <w:kern w:val="0"/>
          <w:sz w:val="30"/>
          <w:szCs w:val="30"/>
        </w:rPr>
        <w:t>3）、合同生效后，</w:t>
      </w:r>
      <w:r>
        <w:rPr>
          <w:rFonts w:hint="eastAsia" w:ascii="宋体" w:hAnsi="宋体" w:cs="Arial"/>
          <w:color w:val="auto"/>
          <w:kern w:val="0"/>
          <w:sz w:val="30"/>
          <w:szCs w:val="30"/>
          <w:lang w:eastAsia="zh-CN"/>
        </w:rPr>
        <w:t>中标人须采取合理有效措施推进项目实施，</w:t>
      </w:r>
      <w:r>
        <w:rPr>
          <w:rFonts w:hint="eastAsia" w:ascii="宋体" w:hAnsi="宋体" w:cs="Arial"/>
          <w:color w:val="auto"/>
          <w:kern w:val="0"/>
          <w:sz w:val="30"/>
          <w:szCs w:val="30"/>
        </w:rPr>
        <w:t>并作出书面的计划，取得</w:t>
      </w:r>
      <w:r>
        <w:rPr>
          <w:rFonts w:hint="eastAsia" w:ascii="宋体" w:hAnsi="宋体" w:cs="Arial"/>
          <w:color w:val="auto"/>
          <w:kern w:val="0"/>
          <w:sz w:val="30"/>
          <w:szCs w:val="30"/>
          <w:lang w:eastAsia="zh-CN"/>
        </w:rPr>
        <w:t>招标人</w:t>
      </w:r>
      <w:r>
        <w:rPr>
          <w:rFonts w:hint="eastAsia" w:ascii="宋体" w:hAnsi="宋体" w:cs="Arial"/>
          <w:color w:val="auto"/>
          <w:kern w:val="0"/>
          <w:sz w:val="30"/>
          <w:szCs w:val="30"/>
        </w:rPr>
        <w:t>的书面同意</w:t>
      </w:r>
      <w:r>
        <w:rPr>
          <w:rFonts w:hint="eastAsia" w:ascii="宋体" w:hAnsi="宋体" w:cs="Arial"/>
          <w:color w:val="auto"/>
          <w:kern w:val="0"/>
          <w:sz w:val="30"/>
          <w:szCs w:val="30"/>
          <w:lang w:eastAsia="zh-CN"/>
        </w:rPr>
        <w:t>后再</w:t>
      </w:r>
      <w:r>
        <w:rPr>
          <w:rFonts w:hint="eastAsia" w:ascii="宋体" w:hAnsi="宋体" w:cs="Arial"/>
          <w:color w:val="auto"/>
          <w:kern w:val="0"/>
          <w:sz w:val="30"/>
          <w:szCs w:val="30"/>
        </w:rPr>
        <w:t>安排</w:t>
      </w:r>
      <w:r>
        <w:rPr>
          <w:rFonts w:hint="eastAsia" w:ascii="宋体" w:hAnsi="宋体" w:cs="Arial"/>
          <w:color w:val="auto"/>
          <w:kern w:val="0"/>
          <w:sz w:val="30"/>
          <w:szCs w:val="30"/>
          <w:lang w:eastAsia="zh-CN"/>
        </w:rPr>
        <w:t>实施</w:t>
      </w:r>
      <w:r>
        <w:rPr>
          <w:rFonts w:hint="eastAsia" w:ascii="宋体" w:hAnsi="宋体" w:cs="Arial"/>
          <w:color w:val="auto"/>
          <w:kern w:val="0"/>
          <w:sz w:val="30"/>
          <w:szCs w:val="30"/>
        </w:rPr>
        <w:t>。如果发生争议，经协商一致后，</w:t>
      </w:r>
      <w:r>
        <w:rPr>
          <w:rFonts w:hint="eastAsia" w:ascii="宋体" w:hAnsi="宋体" w:cs="Arial"/>
          <w:color w:val="auto"/>
          <w:kern w:val="0"/>
          <w:sz w:val="30"/>
          <w:szCs w:val="30"/>
          <w:lang w:eastAsia="zh-CN"/>
        </w:rPr>
        <w:t>双</w:t>
      </w:r>
      <w:r>
        <w:rPr>
          <w:rFonts w:hint="eastAsia" w:ascii="宋体" w:hAnsi="宋体" w:cs="Arial"/>
          <w:color w:val="auto"/>
          <w:kern w:val="0"/>
          <w:sz w:val="30"/>
          <w:szCs w:val="30"/>
        </w:rPr>
        <w:t>方都应</w:t>
      </w:r>
      <w:r>
        <w:rPr>
          <w:rFonts w:hint="eastAsia" w:ascii="宋体" w:hAnsi="宋体" w:cs="Arial"/>
          <w:color w:val="auto"/>
          <w:kern w:val="0"/>
          <w:sz w:val="30"/>
          <w:szCs w:val="30"/>
          <w:lang w:eastAsia="zh-CN"/>
        </w:rPr>
        <w:t>自觉</w:t>
      </w:r>
      <w:r>
        <w:rPr>
          <w:rFonts w:hint="eastAsia" w:ascii="宋体" w:hAnsi="宋体" w:cs="Arial"/>
          <w:color w:val="auto"/>
          <w:kern w:val="0"/>
          <w:sz w:val="30"/>
          <w:szCs w:val="30"/>
        </w:rPr>
        <w:t>遵守，并不得籍此要求增加费用或延长工期。</w:t>
      </w:r>
    </w:p>
    <w:p>
      <w:pPr>
        <w:snapToGrid w:val="0"/>
        <w:spacing w:line="500" w:lineRule="exact"/>
        <w:ind w:firstLine="480"/>
        <w:jc w:val="left"/>
        <w:rPr>
          <w:rFonts w:ascii="宋体" w:hAnsi="宋体" w:cs="Arial"/>
          <w:color w:val="auto"/>
          <w:kern w:val="0"/>
          <w:sz w:val="30"/>
          <w:szCs w:val="30"/>
        </w:rPr>
      </w:pPr>
      <w:r>
        <w:rPr>
          <w:rFonts w:hint="eastAsia" w:ascii="宋体" w:hAnsi="宋体" w:cs="Arial"/>
          <w:color w:val="auto"/>
          <w:kern w:val="0"/>
          <w:sz w:val="30"/>
          <w:szCs w:val="30"/>
        </w:rPr>
        <w:t>4）、</w:t>
      </w:r>
      <w:r>
        <w:rPr>
          <w:rFonts w:hint="eastAsia" w:ascii="宋体" w:hAnsi="宋体" w:cs="Arial"/>
          <w:color w:val="auto"/>
          <w:kern w:val="0"/>
          <w:sz w:val="30"/>
          <w:szCs w:val="30"/>
          <w:lang w:eastAsia="zh-CN"/>
        </w:rPr>
        <w:t>中标人</w:t>
      </w:r>
      <w:r>
        <w:rPr>
          <w:rFonts w:hint="eastAsia" w:ascii="宋体" w:hAnsi="宋体" w:cs="Arial"/>
          <w:color w:val="auto"/>
          <w:kern w:val="0"/>
          <w:sz w:val="30"/>
          <w:szCs w:val="30"/>
        </w:rPr>
        <w:t>须按国家有关规定及标准完成施工图纸范围内的工程量。</w:t>
      </w:r>
    </w:p>
    <w:p>
      <w:pPr>
        <w:snapToGrid w:val="0"/>
        <w:spacing w:line="500" w:lineRule="exact"/>
        <w:ind w:firstLine="480"/>
        <w:jc w:val="left"/>
        <w:rPr>
          <w:rFonts w:hint="eastAsia" w:ascii="宋体" w:hAnsi="宋体" w:cs="Arial"/>
          <w:color w:val="auto"/>
          <w:kern w:val="0"/>
          <w:sz w:val="30"/>
          <w:szCs w:val="30"/>
        </w:rPr>
      </w:pPr>
      <w:r>
        <w:rPr>
          <w:rFonts w:hint="eastAsia" w:ascii="宋体" w:hAnsi="宋体" w:cs="Arial"/>
          <w:color w:val="auto"/>
          <w:kern w:val="0"/>
          <w:sz w:val="30"/>
          <w:szCs w:val="30"/>
        </w:rPr>
        <w:t>5）、</w:t>
      </w:r>
      <w:r>
        <w:rPr>
          <w:rFonts w:hint="eastAsia" w:ascii="宋体" w:hAnsi="宋体" w:cs="Arial"/>
          <w:color w:val="auto"/>
          <w:kern w:val="0"/>
          <w:sz w:val="30"/>
          <w:szCs w:val="30"/>
          <w:lang w:eastAsia="zh-CN"/>
        </w:rPr>
        <w:t>中标人</w:t>
      </w:r>
      <w:r>
        <w:rPr>
          <w:rFonts w:hint="eastAsia" w:ascii="宋体" w:hAnsi="宋体" w:cs="Arial"/>
          <w:color w:val="auto"/>
          <w:kern w:val="0"/>
          <w:sz w:val="30"/>
          <w:szCs w:val="30"/>
        </w:rPr>
        <w:t>所提供的产品必须符合行业的国际标准和我国现行的产品认证制度规定，并满足</w:t>
      </w:r>
      <w:r>
        <w:rPr>
          <w:rFonts w:hint="eastAsia" w:ascii="宋体" w:hAnsi="宋体" w:cs="Arial"/>
          <w:color w:val="auto"/>
          <w:kern w:val="0"/>
          <w:sz w:val="30"/>
          <w:szCs w:val="30"/>
          <w:lang w:eastAsia="zh-CN"/>
        </w:rPr>
        <w:t>招标人</w:t>
      </w:r>
      <w:r>
        <w:rPr>
          <w:rFonts w:hint="eastAsia" w:ascii="宋体" w:hAnsi="宋体" w:cs="Arial"/>
          <w:color w:val="auto"/>
          <w:kern w:val="0"/>
          <w:sz w:val="30"/>
          <w:szCs w:val="30"/>
        </w:rPr>
        <w:t>提出的产品技术要求。</w:t>
      </w:r>
    </w:p>
    <w:p>
      <w:pPr>
        <w:snapToGrid w:val="0"/>
        <w:spacing w:line="500" w:lineRule="exact"/>
        <w:ind w:firstLine="480"/>
        <w:jc w:val="left"/>
        <w:rPr>
          <w:color w:val="auto"/>
        </w:rPr>
      </w:pPr>
      <w:r>
        <w:rPr>
          <w:rFonts w:hint="eastAsia" w:ascii="宋体" w:hAnsi="宋体" w:cs="Arial"/>
          <w:color w:val="auto"/>
          <w:kern w:val="0"/>
          <w:sz w:val="30"/>
          <w:szCs w:val="30"/>
        </w:rPr>
        <w:t>6）、</w:t>
      </w:r>
      <w:r>
        <w:rPr>
          <w:rFonts w:hint="eastAsia" w:ascii="宋体" w:hAnsi="宋体" w:cs="Arial"/>
          <w:color w:val="auto"/>
          <w:kern w:val="0"/>
          <w:sz w:val="30"/>
          <w:szCs w:val="30"/>
          <w:lang w:eastAsia="zh-CN"/>
        </w:rPr>
        <w:t>中标人</w:t>
      </w:r>
      <w:r>
        <w:rPr>
          <w:rFonts w:hint="eastAsia" w:ascii="宋体" w:hAnsi="宋体" w:cs="Arial"/>
          <w:color w:val="auto"/>
          <w:kern w:val="0"/>
          <w:sz w:val="30"/>
          <w:szCs w:val="30"/>
        </w:rPr>
        <w:t>所提供的</w:t>
      </w:r>
      <w:r>
        <w:rPr>
          <w:rFonts w:hint="eastAsia" w:ascii="宋体" w:hAnsi="宋体" w:cs="Arial"/>
          <w:color w:val="auto"/>
          <w:kern w:val="0"/>
          <w:sz w:val="30"/>
          <w:szCs w:val="30"/>
          <w:lang w:eastAsia="zh-CN"/>
        </w:rPr>
        <w:t>材料、设备、设施等</w:t>
      </w:r>
      <w:r>
        <w:rPr>
          <w:rFonts w:hint="eastAsia" w:ascii="宋体" w:hAnsi="宋体" w:cs="Arial"/>
          <w:color w:val="auto"/>
          <w:kern w:val="0"/>
          <w:sz w:val="30"/>
          <w:szCs w:val="30"/>
        </w:rPr>
        <w:t>货物应是全新的</w:t>
      </w:r>
      <w:r>
        <w:rPr>
          <w:rFonts w:hint="eastAsia" w:ascii="宋体" w:hAnsi="宋体" w:cs="Arial"/>
          <w:color w:val="auto"/>
          <w:kern w:val="0"/>
          <w:sz w:val="30"/>
          <w:szCs w:val="30"/>
          <w:lang w:eastAsia="zh-CN"/>
        </w:rPr>
        <w:t>且</w:t>
      </w:r>
      <w:r>
        <w:rPr>
          <w:rFonts w:hint="eastAsia" w:ascii="宋体" w:hAnsi="宋体" w:cs="Arial"/>
          <w:color w:val="auto"/>
          <w:kern w:val="0"/>
          <w:sz w:val="30"/>
          <w:szCs w:val="30"/>
        </w:rPr>
        <w:t>未使用过的</w:t>
      </w:r>
      <w:r>
        <w:rPr>
          <w:rFonts w:hint="eastAsia"/>
          <w:color w:val="auto"/>
        </w:rPr>
        <w:t>。</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7）、产品（材料）及其辅助装置铭牌、使用指示、警告指示应以中文或英文及易懂的通用符号来表示；应准确无误地表明货物</w:t>
      </w:r>
      <w:r>
        <w:rPr>
          <w:rFonts w:hint="eastAsia" w:ascii="宋体" w:hAnsi="宋体" w:cs="Arial"/>
          <w:kern w:val="0"/>
          <w:sz w:val="30"/>
          <w:szCs w:val="30"/>
          <w:lang w:eastAsia="zh-CN"/>
        </w:rPr>
        <w:t>的</w:t>
      </w:r>
      <w:r>
        <w:rPr>
          <w:rFonts w:hint="eastAsia" w:ascii="宋体" w:hAnsi="宋体" w:cs="Arial"/>
          <w:kern w:val="0"/>
          <w:sz w:val="30"/>
          <w:szCs w:val="30"/>
        </w:rPr>
        <w:t>型号、规格、制造厂</w:t>
      </w:r>
      <w:r>
        <w:rPr>
          <w:rFonts w:hint="eastAsia" w:ascii="宋体" w:hAnsi="宋体" w:cs="Arial"/>
          <w:kern w:val="0"/>
          <w:sz w:val="30"/>
          <w:szCs w:val="30"/>
          <w:lang w:eastAsia="zh-CN"/>
        </w:rPr>
        <w:t>商</w:t>
      </w:r>
      <w:r>
        <w:rPr>
          <w:rFonts w:hint="eastAsia" w:ascii="宋体" w:hAnsi="宋体" w:cs="Arial"/>
          <w:kern w:val="0"/>
          <w:sz w:val="30"/>
          <w:szCs w:val="30"/>
        </w:rPr>
        <w:t>及生产或出厂日期。</w:t>
      </w:r>
    </w:p>
    <w:p>
      <w:pPr>
        <w:snapToGrid w:val="0"/>
        <w:spacing w:line="500" w:lineRule="exact"/>
        <w:ind w:firstLine="600" w:firstLineChars="200"/>
        <w:jc w:val="left"/>
        <w:rPr>
          <w:rFonts w:ascii="宋体" w:hAnsi="宋体" w:cs="Arial"/>
          <w:kern w:val="0"/>
          <w:sz w:val="30"/>
          <w:szCs w:val="30"/>
        </w:rPr>
      </w:pPr>
      <w:r>
        <w:rPr>
          <w:rFonts w:hint="eastAsia" w:ascii="宋体" w:hAnsi="宋体" w:cs="Arial"/>
          <w:kern w:val="0"/>
          <w:sz w:val="30"/>
          <w:szCs w:val="30"/>
        </w:rPr>
        <w:t>8）、</w:t>
      </w:r>
      <w:r>
        <w:rPr>
          <w:rFonts w:hint="eastAsia" w:ascii="宋体" w:hAnsi="宋体" w:cs="Arial"/>
          <w:kern w:val="0"/>
          <w:sz w:val="30"/>
          <w:szCs w:val="30"/>
          <w:lang w:eastAsia="zh-CN"/>
        </w:rPr>
        <w:t>中标人</w:t>
      </w:r>
      <w:r>
        <w:rPr>
          <w:rFonts w:hint="eastAsia" w:ascii="宋体" w:hAnsi="宋体" w:cs="Arial"/>
          <w:kern w:val="0"/>
          <w:sz w:val="30"/>
          <w:szCs w:val="30"/>
        </w:rPr>
        <w:t>对中标产品使用的安全性能与可靠性负全部责任。</w:t>
      </w:r>
    </w:p>
    <w:p>
      <w:pPr>
        <w:snapToGrid w:val="0"/>
        <w:spacing w:line="500" w:lineRule="exact"/>
        <w:ind w:firstLine="600" w:firstLineChars="200"/>
        <w:jc w:val="left"/>
        <w:rPr>
          <w:rFonts w:ascii="宋体" w:hAnsi="宋体" w:cs="Arial"/>
          <w:color w:val="auto"/>
          <w:kern w:val="0"/>
          <w:sz w:val="30"/>
          <w:szCs w:val="30"/>
        </w:rPr>
      </w:pPr>
      <w:r>
        <w:rPr>
          <w:rFonts w:ascii="宋体" w:hAnsi="宋体" w:cs="Arial"/>
          <w:kern w:val="0"/>
          <w:sz w:val="30"/>
          <w:szCs w:val="30"/>
        </w:rPr>
        <w:t>9)</w:t>
      </w:r>
      <w:r>
        <w:rPr>
          <w:rFonts w:hint="eastAsia" w:ascii="宋体" w:hAnsi="宋体" w:cs="Arial"/>
          <w:kern w:val="0"/>
          <w:sz w:val="30"/>
          <w:szCs w:val="30"/>
        </w:rPr>
        <w:t>、</w:t>
      </w:r>
      <w:r>
        <w:rPr>
          <w:rFonts w:hint="eastAsia" w:ascii="宋体" w:hAnsi="宋体" w:cs="Arial"/>
          <w:kern w:val="0"/>
          <w:sz w:val="30"/>
          <w:szCs w:val="30"/>
          <w:lang w:eastAsia="zh-CN"/>
        </w:rPr>
        <w:t>中标人</w:t>
      </w:r>
      <w:r>
        <w:rPr>
          <w:rFonts w:hint="eastAsia" w:ascii="宋体" w:hAnsi="宋体" w:cs="Arial"/>
          <w:kern w:val="0"/>
          <w:sz w:val="30"/>
          <w:szCs w:val="30"/>
        </w:rPr>
        <w:t>应充分利用</w:t>
      </w:r>
      <w:r>
        <w:rPr>
          <w:rFonts w:hint="eastAsia" w:ascii="宋体" w:hAnsi="宋体" w:cs="Arial"/>
          <w:kern w:val="0"/>
          <w:sz w:val="30"/>
          <w:szCs w:val="30"/>
          <w:lang w:eastAsia="zh-CN"/>
        </w:rPr>
        <w:t>招标人</w:t>
      </w:r>
      <w:r>
        <w:rPr>
          <w:rFonts w:hint="eastAsia" w:ascii="宋体" w:hAnsi="宋体" w:cs="Arial"/>
          <w:color w:val="auto"/>
          <w:kern w:val="0"/>
          <w:sz w:val="30"/>
          <w:szCs w:val="30"/>
          <w:lang w:eastAsia="zh-CN"/>
        </w:rPr>
        <w:t>现有</w:t>
      </w:r>
      <w:r>
        <w:rPr>
          <w:rFonts w:hint="eastAsia" w:ascii="宋体" w:hAnsi="宋体" w:cs="Arial"/>
          <w:color w:val="auto"/>
          <w:kern w:val="0"/>
          <w:sz w:val="30"/>
          <w:szCs w:val="30"/>
        </w:rPr>
        <w:t>的合适设备。</w:t>
      </w:r>
    </w:p>
    <w:p>
      <w:pPr>
        <w:snapToGrid w:val="0"/>
        <w:spacing w:line="500" w:lineRule="exact"/>
        <w:ind w:firstLine="600" w:firstLineChars="200"/>
        <w:jc w:val="left"/>
        <w:rPr>
          <w:rFonts w:ascii="宋体" w:hAnsi="宋体" w:cs="Arial"/>
          <w:b/>
          <w:color w:val="auto"/>
          <w:sz w:val="30"/>
          <w:szCs w:val="30"/>
        </w:rPr>
      </w:pPr>
      <w:bookmarkStart w:id="0" w:name="_GoBack"/>
      <w:bookmarkEnd w:id="0"/>
      <w:r>
        <w:rPr>
          <w:rFonts w:hint="eastAsia" w:ascii="宋体" w:hAnsi="宋体" w:cs="Arial"/>
          <w:color w:val="auto"/>
          <w:kern w:val="0"/>
          <w:sz w:val="30"/>
          <w:szCs w:val="30"/>
        </w:rPr>
        <w:t>10）、</w:t>
      </w:r>
      <w:r>
        <w:rPr>
          <w:rFonts w:hint="eastAsia" w:ascii="宋体" w:hAnsi="宋体" w:cs="Arial"/>
          <w:color w:val="auto"/>
          <w:kern w:val="0"/>
          <w:sz w:val="30"/>
          <w:szCs w:val="30"/>
          <w:lang w:eastAsia="zh-CN"/>
        </w:rPr>
        <w:t>投标人</w:t>
      </w:r>
      <w:r>
        <w:rPr>
          <w:rFonts w:hint="eastAsia" w:ascii="宋体" w:hAnsi="宋体" w:cs="Arial"/>
          <w:color w:val="auto"/>
          <w:kern w:val="0"/>
          <w:sz w:val="30"/>
          <w:szCs w:val="30"/>
        </w:rPr>
        <w:t>应对总包项目进行分项报价。</w:t>
      </w:r>
    </w:p>
    <w:p>
      <w:pPr>
        <w:tabs>
          <w:tab w:val="left" w:pos="5550"/>
        </w:tabs>
        <w:adjustRightInd w:val="0"/>
        <w:snapToGrid w:val="0"/>
        <w:spacing w:line="480" w:lineRule="exact"/>
        <w:jc w:val="left"/>
        <w:rPr>
          <w:rFonts w:ascii="宋体" w:hAnsi="宋体"/>
          <w:sz w:val="28"/>
          <w:szCs w:val="28"/>
        </w:rPr>
      </w:pPr>
      <w:r>
        <w:rPr>
          <w:rFonts w:hint="eastAsia" w:ascii="宋体" w:hAnsi="宋体"/>
          <w:b/>
          <w:color w:val="auto"/>
          <w:sz w:val="28"/>
          <w:szCs w:val="28"/>
        </w:rPr>
        <w:t>3.工程完成时间和地点：合同生效后两个月</w:t>
      </w:r>
      <w:r>
        <w:rPr>
          <w:rFonts w:hint="eastAsia" w:ascii="宋体" w:hAnsi="宋体"/>
          <w:b/>
          <w:color w:val="auto"/>
          <w:sz w:val="28"/>
          <w:szCs w:val="28"/>
          <w:lang w:eastAsia="zh-CN"/>
        </w:rPr>
        <w:t>内</w:t>
      </w:r>
      <w:r>
        <w:rPr>
          <w:rFonts w:hint="eastAsia" w:ascii="宋体" w:hAnsi="宋体"/>
          <w:b/>
          <w:sz w:val="28"/>
          <w:szCs w:val="28"/>
        </w:rPr>
        <w:t>完成</w:t>
      </w:r>
      <w:r>
        <w:rPr>
          <w:rFonts w:hint="eastAsia" w:ascii="宋体" w:hAnsi="宋体"/>
          <w:color w:val="000000"/>
          <w:sz w:val="28"/>
          <w:szCs w:val="28"/>
        </w:rPr>
        <w:t>，工程地点在</w:t>
      </w:r>
      <w:r>
        <w:rPr>
          <w:rFonts w:hint="eastAsia" w:ascii="宋体" w:hAnsi="宋体"/>
          <w:color w:val="000000"/>
          <w:kern w:val="0"/>
          <w:sz w:val="28"/>
          <w:szCs w:val="28"/>
        </w:rPr>
        <w:t>福建省建瓯市吉苑路11号</w:t>
      </w:r>
      <w:r>
        <w:rPr>
          <w:rFonts w:hint="eastAsia" w:ascii="宋体" w:hAnsi="宋体"/>
          <w:color w:val="000000"/>
          <w:sz w:val="28"/>
          <w:szCs w:val="28"/>
        </w:rPr>
        <w:t>水仙药业（建瓯）</w:t>
      </w:r>
      <w:r>
        <w:rPr>
          <w:rFonts w:hint="eastAsia" w:ascii="宋体" w:hAnsi="宋体"/>
          <w:sz w:val="28"/>
          <w:szCs w:val="28"/>
        </w:rPr>
        <w:t>股份有限公司。</w:t>
      </w:r>
    </w:p>
    <w:p>
      <w:pPr>
        <w:tabs>
          <w:tab w:val="left" w:pos="5550"/>
        </w:tabs>
        <w:adjustRightInd w:val="0"/>
        <w:snapToGrid w:val="0"/>
        <w:spacing w:line="480" w:lineRule="exact"/>
        <w:jc w:val="left"/>
        <w:rPr>
          <w:rFonts w:hint="default" w:ascii="宋体" w:hAnsi="宋体"/>
          <w:b/>
          <w:bCs w:val="0"/>
          <w:color w:val="auto"/>
          <w:sz w:val="28"/>
          <w:szCs w:val="28"/>
          <w:lang w:val="en-US" w:eastAsia="zh-CN"/>
        </w:rPr>
      </w:pPr>
      <w:r>
        <w:rPr>
          <w:rFonts w:hint="eastAsia" w:ascii="宋体" w:hAnsi="宋体"/>
          <w:b/>
          <w:bCs w:val="0"/>
          <w:color w:val="auto"/>
          <w:sz w:val="28"/>
          <w:szCs w:val="28"/>
        </w:rPr>
        <w:t>4.付款方式：</w:t>
      </w:r>
      <w:r>
        <w:rPr>
          <w:rFonts w:hint="eastAsia" w:ascii="宋体" w:hAnsi="宋体"/>
          <w:b w:val="0"/>
          <w:bCs/>
          <w:color w:val="auto"/>
          <w:sz w:val="28"/>
          <w:szCs w:val="28"/>
          <w:lang w:val="en-US" w:eastAsia="zh-CN"/>
        </w:rPr>
        <w:t>支付方式分为转账或银行承兑汇票，共分四期支付</w:t>
      </w:r>
      <w:r>
        <w:rPr>
          <w:rFonts w:hint="eastAsia" w:ascii="宋体" w:hAnsi="宋体"/>
          <w:b/>
          <w:bCs w:val="0"/>
          <w:color w:val="auto"/>
          <w:sz w:val="28"/>
          <w:szCs w:val="28"/>
          <w:lang w:val="en-US" w:eastAsia="zh-CN"/>
        </w:rPr>
        <w:t>。</w:t>
      </w:r>
    </w:p>
    <w:p>
      <w:pPr>
        <w:tabs>
          <w:tab w:val="left" w:pos="5550"/>
        </w:tabs>
        <w:adjustRightInd w:val="0"/>
        <w:snapToGrid w:val="0"/>
        <w:spacing w:line="480" w:lineRule="exact"/>
        <w:ind w:firstLine="600" w:firstLineChars="200"/>
        <w:jc w:val="left"/>
        <w:rPr>
          <w:rFonts w:hint="eastAsia" w:ascii="宋体" w:hAnsi="宋体" w:eastAsia="宋体" w:cs="宋体"/>
          <w:sz w:val="30"/>
          <w:szCs w:val="30"/>
          <w:shd w:val="clear" w:color="auto" w:fill="FFFFFF"/>
          <w:lang w:eastAsia="zh-CN"/>
        </w:rPr>
      </w:pPr>
      <w:r>
        <w:rPr>
          <w:rFonts w:hint="eastAsia" w:ascii="宋体" w:hAnsi="宋体" w:cs="宋体"/>
          <w:sz w:val="30"/>
          <w:szCs w:val="30"/>
          <w:shd w:val="clear" w:color="auto" w:fill="FFFFFF"/>
          <w:lang w:val="en-US" w:eastAsia="zh-CN"/>
        </w:rPr>
        <w:t>1）</w:t>
      </w:r>
      <w:r>
        <w:rPr>
          <w:rFonts w:hint="eastAsia" w:ascii="宋体" w:hAnsi="宋体" w:cs="宋体"/>
          <w:sz w:val="30"/>
          <w:szCs w:val="30"/>
          <w:shd w:val="clear" w:color="auto" w:fill="FFFFFF"/>
        </w:rPr>
        <w:t>签订合同后预付</w:t>
      </w:r>
      <w:r>
        <w:rPr>
          <w:rFonts w:hint="eastAsia" w:ascii="宋体" w:hAnsi="宋体" w:cs="宋体"/>
          <w:sz w:val="30"/>
          <w:szCs w:val="30"/>
          <w:shd w:val="clear" w:color="auto" w:fill="FFFFFF"/>
          <w:lang w:val="en-US" w:eastAsia="zh-CN"/>
        </w:rPr>
        <w:t>合同总金额的</w:t>
      </w:r>
      <w:r>
        <w:rPr>
          <w:rFonts w:hint="eastAsia" w:ascii="宋体" w:hAnsi="宋体" w:cs="宋体"/>
          <w:sz w:val="30"/>
          <w:szCs w:val="30"/>
          <w:shd w:val="clear" w:color="auto" w:fill="FFFFFF"/>
        </w:rPr>
        <w:t>30%</w:t>
      </w:r>
      <w:r>
        <w:rPr>
          <w:rFonts w:hint="eastAsia" w:ascii="宋体" w:hAnsi="宋体" w:cs="宋体"/>
          <w:sz w:val="30"/>
          <w:szCs w:val="30"/>
          <w:shd w:val="clear" w:color="auto" w:fill="FFFFFF"/>
          <w:lang w:eastAsia="zh-CN"/>
        </w:rPr>
        <w:t>。</w:t>
      </w:r>
    </w:p>
    <w:p>
      <w:pPr>
        <w:tabs>
          <w:tab w:val="left" w:pos="5550"/>
        </w:tabs>
        <w:adjustRightInd w:val="0"/>
        <w:snapToGrid w:val="0"/>
        <w:spacing w:line="480" w:lineRule="exact"/>
        <w:ind w:firstLine="600" w:firstLineChars="200"/>
        <w:jc w:val="left"/>
        <w:rPr>
          <w:rFonts w:hint="eastAsia" w:ascii="宋体" w:hAnsi="宋体" w:eastAsia="宋体" w:cs="宋体"/>
          <w:sz w:val="30"/>
          <w:szCs w:val="30"/>
          <w:shd w:val="clear" w:color="auto" w:fill="FFFFFF"/>
          <w:lang w:eastAsia="zh-CN"/>
        </w:rPr>
      </w:pPr>
      <w:r>
        <w:rPr>
          <w:rFonts w:hint="eastAsia" w:ascii="宋体" w:hAnsi="宋体" w:cs="宋体"/>
          <w:sz w:val="30"/>
          <w:szCs w:val="30"/>
          <w:shd w:val="clear" w:color="auto" w:fill="FFFFFF"/>
          <w:lang w:val="en-US" w:eastAsia="zh-CN"/>
        </w:rPr>
        <w:t>2）</w:t>
      </w:r>
      <w:r>
        <w:rPr>
          <w:rFonts w:hint="eastAsia" w:ascii="宋体" w:hAnsi="宋体" w:cs="宋体"/>
          <w:sz w:val="30"/>
          <w:szCs w:val="30"/>
          <w:shd w:val="clear" w:color="auto" w:fill="FFFFFF"/>
        </w:rPr>
        <w:t>土建工程完</w:t>
      </w:r>
      <w:r>
        <w:rPr>
          <w:rFonts w:hint="eastAsia" w:ascii="宋体" w:hAnsi="宋体" w:cs="宋体"/>
          <w:sz w:val="30"/>
          <w:szCs w:val="30"/>
          <w:shd w:val="clear" w:color="auto" w:fill="FFFFFF"/>
          <w:lang w:val="en-US" w:eastAsia="zh-CN"/>
        </w:rPr>
        <w:t>工</w:t>
      </w:r>
      <w:r>
        <w:rPr>
          <w:rFonts w:hint="eastAsia" w:ascii="宋体" w:hAnsi="宋体" w:cs="宋体"/>
          <w:sz w:val="30"/>
          <w:szCs w:val="30"/>
          <w:shd w:val="clear" w:color="auto" w:fill="FFFFFF"/>
        </w:rPr>
        <w:t>后且</w:t>
      </w:r>
      <w:r>
        <w:rPr>
          <w:rFonts w:hint="eastAsia" w:ascii="宋体" w:hAnsi="宋体" w:cs="宋体"/>
          <w:sz w:val="30"/>
          <w:szCs w:val="30"/>
          <w:shd w:val="clear" w:color="auto" w:fill="FFFFFF"/>
          <w:lang w:eastAsia="zh-CN"/>
        </w:rPr>
        <w:t>中标人将</w:t>
      </w:r>
      <w:r>
        <w:rPr>
          <w:rFonts w:hint="eastAsia" w:ascii="宋体" w:hAnsi="宋体" w:cs="宋体"/>
          <w:sz w:val="30"/>
          <w:szCs w:val="30"/>
          <w:shd w:val="clear" w:color="auto" w:fill="FFFFFF"/>
        </w:rPr>
        <w:t>污水设施设备发货到</w:t>
      </w:r>
      <w:r>
        <w:rPr>
          <w:rFonts w:hint="eastAsia" w:ascii="宋体" w:hAnsi="宋体" w:cs="宋体"/>
          <w:sz w:val="30"/>
          <w:szCs w:val="30"/>
          <w:shd w:val="clear" w:color="auto" w:fill="FFFFFF"/>
          <w:lang w:eastAsia="zh-CN"/>
        </w:rPr>
        <w:t>招标人指定地点</w:t>
      </w:r>
      <w:r>
        <w:rPr>
          <w:rFonts w:hint="eastAsia" w:ascii="宋体" w:hAnsi="宋体" w:cs="宋体"/>
          <w:sz w:val="30"/>
          <w:szCs w:val="30"/>
          <w:shd w:val="clear" w:color="auto" w:fill="FFFFFF"/>
        </w:rPr>
        <w:t>，现场验收后再付合同总</w:t>
      </w:r>
      <w:r>
        <w:rPr>
          <w:rFonts w:hint="eastAsia" w:ascii="宋体" w:hAnsi="宋体" w:cs="宋体"/>
          <w:sz w:val="30"/>
          <w:szCs w:val="30"/>
          <w:shd w:val="clear" w:color="auto" w:fill="FFFFFF"/>
          <w:lang w:val="en-US" w:eastAsia="zh-CN"/>
        </w:rPr>
        <w:t>金</w:t>
      </w:r>
      <w:r>
        <w:rPr>
          <w:rFonts w:hint="eastAsia" w:ascii="宋体" w:hAnsi="宋体" w:cs="宋体"/>
          <w:sz w:val="30"/>
          <w:szCs w:val="30"/>
          <w:shd w:val="clear" w:color="auto" w:fill="FFFFFF"/>
        </w:rPr>
        <w:t>额的30%</w:t>
      </w:r>
      <w:r>
        <w:rPr>
          <w:rFonts w:hint="eastAsia" w:ascii="宋体" w:hAnsi="宋体" w:cs="宋体"/>
          <w:sz w:val="30"/>
          <w:szCs w:val="30"/>
          <w:shd w:val="clear" w:color="auto" w:fill="FFFFFF"/>
          <w:lang w:eastAsia="zh-CN"/>
        </w:rPr>
        <w:t>。</w:t>
      </w:r>
    </w:p>
    <w:p>
      <w:pPr>
        <w:tabs>
          <w:tab w:val="left" w:pos="5550"/>
        </w:tabs>
        <w:adjustRightInd w:val="0"/>
        <w:snapToGrid w:val="0"/>
        <w:spacing w:line="480" w:lineRule="exact"/>
        <w:ind w:firstLine="600" w:firstLineChars="200"/>
        <w:jc w:val="left"/>
        <w:rPr>
          <w:rFonts w:hint="eastAsia" w:ascii="宋体" w:hAnsi="宋体" w:eastAsia="宋体" w:cs="宋体"/>
          <w:sz w:val="30"/>
          <w:szCs w:val="30"/>
          <w:shd w:val="clear" w:color="auto" w:fill="FFFFFF"/>
          <w:lang w:eastAsia="zh-CN"/>
        </w:rPr>
      </w:pPr>
      <w:r>
        <w:rPr>
          <w:rFonts w:hint="eastAsia" w:ascii="宋体" w:hAnsi="宋体" w:cs="宋体"/>
          <w:sz w:val="30"/>
          <w:szCs w:val="30"/>
          <w:shd w:val="clear" w:color="auto" w:fill="FFFFFF"/>
          <w:lang w:val="en-US" w:eastAsia="zh-CN"/>
        </w:rPr>
        <w:t>3）</w:t>
      </w:r>
      <w:r>
        <w:rPr>
          <w:rFonts w:hint="eastAsia" w:ascii="宋体" w:hAnsi="宋体" w:cs="宋体"/>
          <w:sz w:val="30"/>
          <w:szCs w:val="30"/>
          <w:shd w:val="clear" w:color="auto" w:fill="FFFFFF"/>
        </w:rPr>
        <w:t>工程</w:t>
      </w:r>
      <w:r>
        <w:rPr>
          <w:rFonts w:hint="eastAsia" w:ascii="宋体" w:hAnsi="宋体" w:cs="宋体"/>
          <w:sz w:val="30"/>
          <w:szCs w:val="30"/>
          <w:shd w:val="clear" w:color="auto" w:fill="FFFFFF"/>
          <w:lang w:eastAsia="zh-CN"/>
        </w:rPr>
        <w:t>设备</w:t>
      </w:r>
      <w:r>
        <w:rPr>
          <w:rFonts w:hint="eastAsia" w:ascii="宋体" w:hAnsi="宋体" w:cs="宋体"/>
          <w:sz w:val="30"/>
          <w:szCs w:val="30"/>
          <w:shd w:val="clear" w:color="auto" w:fill="FFFFFF"/>
        </w:rPr>
        <w:t>在</w:t>
      </w:r>
      <w:r>
        <w:rPr>
          <w:rFonts w:hint="eastAsia" w:ascii="宋体" w:hAnsi="宋体" w:cs="宋体"/>
          <w:sz w:val="30"/>
          <w:szCs w:val="30"/>
          <w:shd w:val="clear" w:color="auto" w:fill="FFFFFF"/>
          <w:lang w:eastAsia="zh-CN"/>
        </w:rPr>
        <w:t>招标人指定地点</w:t>
      </w:r>
      <w:r>
        <w:rPr>
          <w:rFonts w:hint="eastAsia" w:ascii="宋体" w:hAnsi="宋体" w:cs="宋体"/>
          <w:sz w:val="30"/>
          <w:szCs w:val="30"/>
          <w:shd w:val="clear" w:color="auto" w:fill="FFFFFF"/>
        </w:rPr>
        <w:t>安装调试、验收合格，</w:t>
      </w:r>
      <w:r>
        <w:rPr>
          <w:rFonts w:hint="eastAsia" w:ascii="宋体" w:hAnsi="宋体" w:cs="宋体"/>
          <w:sz w:val="30"/>
          <w:szCs w:val="30"/>
          <w:shd w:val="clear" w:color="auto" w:fill="FFFFFF"/>
          <w:lang w:val="en-US" w:eastAsia="zh-CN"/>
        </w:rPr>
        <w:t>且</w:t>
      </w:r>
      <w:r>
        <w:rPr>
          <w:rFonts w:hint="eastAsia" w:ascii="宋体" w:hAnsi="宋体" w:cs="宋体"/>
          <w:sz w:val="30"/>
          <w:szCs w:val="30"/>
          <w:shd w:val="clear" w:color="auto" w:fill="FFFFFF"/>
          <w:lang w:eastAsia="zh-CN"/>
        </w:rPr>
        <w:t>招标人</w:t>
      </w:r>
      <w:r>
        <w:rPr>
          <w:rFonts w:hint="eastAsia" w:ascii="宋体" w:hAnsi="宋体" w:cs="宋体"/>
          <w:sz w:val="30"/>
          <w:szCs w:val="30"/>
          <w:shd w:val="clear" w:color="auto" w:fill="FFFFFF"/>
        </w:rPr>
        <w:t>收到</w:t>
      </w:r>
      <w:r>
        <w:rPr>
          <w:rFonts w:hint="eastAsia" w:ascii="宋体" w:hAnsi="宋体" w:cs="宋体"/>
          <w:sz w:val="30"/>
          <w:szCs w:val="30"/>
          <w:shd w:val="clear" w:color="auto" w:fill="FFFFFF"/>
          <w:lang w:eastAsia="zh-CN"/>
        </w:rPr>
        <w:t>工程项目</w:t>
      </w:r>
      <w:r>
        <w:rPr>
          <w:rFonts w:hint="eastAsia" w:ascii="宋体" w:hAnsi="宋体" w:cs="宋体"/>
          <w:sz w:val="30"/>
          <w:szCs w:val="30"/>
          <w:shd w:val="clear" w:color="auto" w:fill="FFFFFF"/>
        </w:rPr>
        <w:t>全额增值税专用发票后再付合同总额的30%</w:t>
      </w:r>
      <w:r>
        <w:rPr>
          <w:rFonts w:hint="eastAsia" w:ascii="宋体" w:hAnsi="宋体" w:cs="宋体"/>
          <w:sz w:val="30"/>
          <w:szCs w:val="30"/>
          <w:shd w:val="clear" w:color="auto" w:fill="FFFFFF"/>
          <w:lang w:eastAsia="zh-CN"/>
        </w:rPr>
        <w:t>。</w:t>
      </w:r>
    </w:p>
    <w:p>
      <w:pPr>
        <w:tabs>
          <w:tab w:val="left" w:pos="5550"/>
        </w:tabs>
        <w:adjustRightInd w:val="0"/>
        <w:snapToGrid w:val="0"/>
        <w:spacing w:line="480" w:lineRule="exact"/>
        <w:ind w:firstLine="600" w:firstLineChars="200"/>
        <w:jc w:val="left"/>
        <w:rPr>
          <w:rFonts w:ascii="宋体" w:hAnsi="宋体"/>
          <w:color w:val="auto"/>
          <w:spacing w:val="4"/>
          <w:sz w:val="28"/>
          <w:szCs w:val="28"/>
          <w:highlight w:val="yellow"/>
        </w:rPr>
      </w:pPr>
      <w:r>
        <w:rPr>
          <w:rFonts w:hint="eastAsia" w:ascii="宋体" w:hAnsi="宋体" w:cs="宋体"/>
          <w:sz w:val="30"/>
          <w:szCs w:val="30"/>
          <w:shd w:val="clear" w:color="auto" w:fill="FFFFFF"/>
          <w:lang w:val="en-US" w:eastAsia="zh-CN"/>
        </w:rPr>
        <w:t>4）</w:t>
      </w:r>
      <w:r>
        <w:rPr>
          <w:rFonts w:hint="eastAsia" w:ascii="宋体" w:hAnsi="宋体" w:cs="宋体"/>
          <w:sz w:val="30"/>
          <w:szCs w:val="30"/>
          <w:shd w:val="clear" w:color="auto" w:fill="FFFFFF"/>
        </w:rPr>
        <w:t>余款10%作为质保金在质保期满付清。</w:t>
      </w:r>
    </w:p>
    <w:p>
      <w:pPr>
        <w:spacing w:line="500" w:lineRule="exact"/>
        <w:ind w:firstLine="482"/>
        <w:rPr>
          <w:rFonts w:ascii="宋体" w:hAnsi="宋体"/>
          <w:b/>
          <w:color w:val="000000"/>
          <w:sz w:val="30"/>
          <w:szCs w:val="30"/>
        </w:rPr>
      </w:pPr>
      <w:r>
        <w:rPr>
          <w:rFonts w:hint="eastAsia" w:ascii="宋体" w:hAnsi="宋体"/>
          <w:b/>
          <w:color w:val="000000"/>
          <w:sz w:val="30"/>
          <w:szCs w:val="30"/>
        </w:rPr>
        <w:t>三、承包范围与界限</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1、承包范围：</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根据招标文件要求，</w:t>
      </w:r>
      <w:r>
        <w:rPr>
          <w:rFonts w:hint="eastAsia" w:ascii="宋体" w:hAnsi="宋体" w:cs="宋体"/>
          <w:sz w:val="30"/>
          <w:szCs w:val="30"/>
          <w:shd w:val="clear" w:color="auto" w:fill="FFFFFF"/>
        </w:rPr>
        <w:t>本工程包括</w:t>
      </w:r>
      <w:r>
        <w:rPr>
          <w:rFonts w:hint="eastAsia" w:ascii="宋体" w:hAnsi="宋体" w:cs="宋体"/>
          <w:sz w:val="30"/>
          <w:szCs w:val="30"/>
          <w:shd w:val="clear" w:color="auto" w:fill="FFFFFF"/>
          <w:lang w:eastAsia="zh-CN"/>
        </w:rPr>
        <w:t>但不限于</w:t>
      </w:r>
      <w:r>
        <w:rPr>
          <w:rFonts w:hint="eastAsia" w:ascii="宋体" w:hAnsi="宋体" w:cs="宋体"/>
          <w:sz w:val="30"/>
          <w:szCs w:val="30"/>
          <w:shd w:val="clear" w:color="auto" w:fill="FFFFFF"/>
        </w:rPr>
        <w:t>土建设计、</w:t>
      </w:r>
      <w:r>
        <w:rPr>
          <w:sz w:val="30"/>
          <w:szCs w:val="30"/>
        </w:rPr>
        <w:t>采购、施工</w:t>
      </w:r>
      <w:r>
        <w:rPr>
          <w:rFonts w:hint="eastAsia"/>
          <w:sz w:val="30"/>
          <w:szCs w:val="30"/>
        </w:rPr>
        <w:t>，</w:t>
      </w:r>
      <w:r>
        <w:rPr>
          <w:rFonts w:hint="eastAsia" w:ascii="宋体" w:hAnsi="宋体" w:cs="宋体"/>
          <w:sz w:val="30"/>
          <w:szCs w:val="30"/>
          <w:shd w:val="clear" w:color="auto" w:fill="FFFFFF"/>
        </w:rPr>
        <w:t>完成所有工程设备、零部件、随机专用检测设备及专用维修工具以及随机备品、备件、运输、储存保管、交货、安装、单机调试、联动调试；配合试运行；配合</w:t>
      </w:r>
      <w:r>
        <w:rPr>
          <w:rFonts w:hint="eastAsia" w:ascii="宋体" w:hAnsi="宋体" w:cs="宋体"/>
          <w:sz w:val="30"/>
          <w:szCs w:val="30"/>
          <w:shd w:val="clear" w:color="auto" w:fill="FFFFFF"/>
          <w:lang w:eastAsia="zh-CN"/>
        </w:rPr>
        <w:t>招标人</w:t>
      </w:r>
      <w:r>
        <w:rPr>
          <w:rFonts w:hint="eastAsia" w:ascii="宋体" w:hAnsi="宋体" w:cs="宋体"/>
          <w:sz w:val="30"/>
          <w:szCs w:val="30"/>
          <w:shd w:val="clear" w:color="auto" w:fill="FFFFFF"/>
        </w:rPr>
        <w:t>进行工程验收和环保验收、人员培训、售后服务等工作，保证达到验收标准要求等全部责任的风险和义务。</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2、界限条件</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(1)项目范围分界点为本废水处理站施工红线范围外1.0米，电力、通讯等不可中间分割部分（如400V电缆、电话线、网线等）送至处理站对口设备。</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 xml:space="preserve">(2)进水口界限：污水交接口为从格栅取水开始（含取水用泵）。 </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 xml:space="preserve">(3)出水口界限：出水口以废水处理系统中规范化排放口的范围外 1.0 米处为接口。 </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(4)供电系统界限：以废水处理站的总配电柜接口为交接点，包括低压配电控制柜、动力控制柜、设备就地控制柜（箱）、按钮箱、接线箱等。</w:t>
      </w:r>
      <w:r>
        <w:rPr>
          <w:rFonts w:hint="eastAsia" w:ascii="宋体" w:hAnsi="宋体" w:cs="Arial"/>
          <w:kern w:val="0"/>
          <w:sz w:val="30"/>
          <w:szCs w:val="30"/>
          <w:lang w:eastAsia="zh-CN"/>
        </w:rPr>
        <w:t>投标人</w:t>
      </w:r>
      <w:r>
        <w:rPr>
          <w:rFonts w:hint="eastAsia" w:ascii="宋体" w:hAnsi="宋体" w:cs="Arial"/>
          <w:kern w:val="0"/>
          <w:sz w:val="30"/>
          <w:szCs w:val="30"/>
        </w:rPr>
        <w:t>负责提供成套电气设备内部的电缆及配件。</w:t>
      </w:r>
      <w:r>
        <w:rPr>
          <w:rFonts w:hint="eastAsia" w:ascii="宋体" w:hAnsi="宋体" w:cs="Arial"/>
          <w:kern w:val="0"/>
          <w:sz w:val="30"/>
          <w:szCs w:val="30"/>
          <w:lang w:eastAsia="zh-CN"/>
        </w:rPr>
        <w:t>投标人</w:t>
      </w:r>
      <w:r>
        <w:rPr>
          <w:rFonts w:hint="eastAsia" w:ascii="宋体" w:hAnsi="宋体" w:cs="Arial"/>
          <w:kern w:val="0"/>
          <w:sz w:val="30"/>
          <w:szCs w:val="30"/>
        </w:rPr>
        <w:t>负责成套电气设备的安装施工、接线、调试、服务、验收及所需人工、材料、工具、设备等。高压系统由建设单位负责接入。</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 xml:space="preserve">(5)给排水系统界限：废水处理站施工红线范围内整个给排水处理系统及与外部接口为红线外1.0m。 </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(6)自动化系统界限：本工程所有自动化控制系统均提供系统设备、程序和调试服务。以废水处理系统的总通讯入口为交接点，业主负责接入，包括仪表、自动控制系统的全套设备及配件（含全部的盘、箱、柜）。</w:t>
      </w:r>
      <w:r>
        <w:rPr>
          <w:rFonts w:hint="eastAsia" w:ascii="宋体" w:hAnsi="宋体" w:cs="Arial"/>
          <w:kern w:val="0"/>
          <w:sz w:val="30"/>
          <w:szCs w:val="30"/>
          <w:lang w:eastAsia="zh-CN"/>
        </w:rPr>
        <w:t>投标人</w:t>
      </w:r>
      <w:r>
        <w:rPr>
          <w:rFonts w:hint="eastAsia" w:ascii="宋体" w:hAnsi="宋体" w:cs="Arial"/>
          <w:kern w:val="0"/>
          <w:sz w:val="30"/>
          <w:szCs w:val="30"/>
        </w:rPr>
        <w:t>负责提供成套仪表自控设备内部的电缆及配件。</w:t>
      </w:r>
      <w:r>
        <w:rPr>
          <w:rFonts w:hint="eastAsia" w:ascii="宋体" w:hAnsi="宋体" w:cs="Arial"/>
          <w:kern w:val="0"/>
          <w:sz w:val="30"/>
          <w:szCs w:val="30"/>
          <w:lang w:eastAsia="zh-CN"/>
        </w:rPr>
        <w:t>投标人</w:t>
      </w:r>
      <w:r>
        <w:rPr>
          <w:rFonts w:hint="eastAsia" w:ascii="宋体" w:hAnsi="宋体" w:cs="Arial"/>
          <w:kern w:val="0"/>
          <w:sz w:val="30"/>
          <w:szCs w:val="30"/>
        </w:rPr>
        <w:t>负责成套仪表自控设备的安装施工、接线调试、服务、验收及所需人工、材料、工具、设备等。</w:t>
      </w:r>
    </w:p>
    <w:p>
      <w:pPr>
        <w:spacing w:line="500" w:lineRule="exact"/>
        <w:ind w:firstLine="482"/>
        <w:rPr>
          <w:rFonts w:ascii="宋体" w:hAnsi="宋体"/>
          <w:b/>
          <w:color w:val="000000"/>
          <w:sz w:val="30"/>
          <w:szCs w:val="30"/>
        </w:rPr>
      </w:pPr>
      <w:r>
        <w:rPr>
          <w:rFonts w:hint="eastAsia" w:ascii="宋体" w:hAnsi="宋体"/>
          <w:b/>
          <w:color w:val="000000"/>
          <w:sz w:val="30"/>
          <w:szCs w:val="30"/>
        </w:rPr>
        <w:t>四、质量保证和售后服务要求</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验收：按2.4项标准验收，自调试合格且试运行连续出水合格1个月（</w:t>
      </w:r>
      <w:r>
        <w:rPr>
          <w:rFonts w:hint="eastAsia" w:ascii="宋体" w:hAnsi="宋体" w:cs="Arial"/>
          <w:kern w:val="0"/>
          <w:sz w:val="30"/>
          <w:szCs w:val="30"/>
          <w:lang w:eastAsia="zh-CN"/>
        </w:rPr>
        <w:t>中标人</w:t>
      </w:r>
      <w:r>
        <w:rPr>
          <w:rFonts w:hint="eastAsia" w:ascii="宋体" w:hAnsi="宋体" w:cs="Arial"/>
          <w:kern w:val="0"/>
          <w:sz w:val="30"/>
          <w:szCs w:val="30"/>
        </w:rPr>
        <w:t>须提供符合资质的第三方检测报告书）。</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质保期：自</w:t>
      </w:r>
      <w:r>
        <w:rPr>
          <w:rFonts w:hint="eastAsia" w:ascii="宋体" w:hAnsi="宋体" w:cs="Arial"/>
          <w:kern w:val="0"/>
          <w:sz w:val="30"/>
          <w:szCs w:val="30"/>
          <w:lang w:eastAsia="zh-CN"/>
        </w:rPr>
        <w:t>验收</w:t>
      </w:r>
      <w:r>
        <w:rPr>
          <w:rFonts w:hint="eastAsia" w:ascii="宋体" w:hAnsi="宋体" w:cs="Arial"/>
          <w:kern w:val="0"/>
          <w:sz w:val="30"/>
          <w:szCs w:val="30"/>
        </w:rPr>
        <w:t>合格</w:t>
      </w:r>
      <w:r>
        <w:rPr>
          <w:rFonts w:hint="eastAsia" w:ascii="宋体" w:hAnsi="宋体" w:cs="Arial"/>
          <w:kern w:val="0"/>
          <w:sz w:val="30"/>
          <w:szCs w:val="30"/>
          <w:lang w:eastAsia="zh-CN"/>
        </w:rPr>
        <w:t>且由投标人和中标人双方签字确认</w:t>
      </w:r>
      <w:r>
        <w:rPr>
          <w:rFonts w:hint="eastAsia" w:ascii="宋体" w:hAnsi="宋体" w:cs="Arial"/>
          <w:kern w:val="0"/>
          <w:sz w:val="30"/>
          <w:szCs w:val="30"/>
        </w:rPr>
        <w:t>之日起计算，质保期为一年。</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（一）质保期内免费维护。在质保期内因产品本身出现的质量问题，</w:t>
      </w:r>
      <w:r>
        <w:rPr>
          <w:rFonts w:hint="eastAsia" w:ascii="宋体" w:hAnsi="宋体" w:cs="Arial"/>
          <w:kern w:val="0"/>
          <w:sz w:val="30"/>
          <w:szCs w:val="30"/>
          <w:lang w:eastAsia="zh-CN"/>
        </w:rPr>
        <w:t>中标人</w:t>
      </w:r>
      <w:r>
        <w:rPr>
          <w:rFonts w:hint="eastAsia" w:ascii="宋体" w:hAnsi="宋体" w:cs="Arial"/>
          <w:kern w:val="0"/>
          <w:sz w:val="30"/>
          <w:szCs w:val="30"/>
        </w:rPr>
        <w:t>须立即进行免费更换有缺陷的零部件、直至免费更换新货物</w:t>
      </w:r>
      <w:r>
        <w:rPr>
          <w:rFonts w:hint="eastAsia"/>
          <w:lang w:eastAsia="zh-CN"/>
        </w:rPr>
        <w:t>。</w:t>
      </w:r>
      <w:r>
        <w:rPr>
          <w:rFonts w:hint="eastAsia" w:ascii="宋体" w:hAnsi="宋体" w:cs="Arial"/>
          <w:kern w:val="0"/>
          <w:sz w:val="30"/>
          <w:szCs w:val="30"/>
        </w:rPr>
        <w:t>质保期以后维护只收取成本，维护每年不少于二次；维修响应时间：一般情况下的零部件更换，</w:t>
      </w:r>
      <w:r>
        <w:rPr>
          <w:rFonts w:hint="eastAsia" w:ascii="宋体" w:hAnsi="宋体" w:cs="Arial"/>
          <w:kern w:val="0"/>
          <w:sz w:val="30"/>
          <w:szCs w:val="30"/>
          <w:lang w:eastAsia="zh-CN"/>
        </w:rPr>
        <w:t>中标人</w:t>
      </w:r>
      <w:r>
        <w:rPr>
          <w:rFonts w:hint="eastAsia" w:ascii="宋体" w:hAnsi="宋体" w:cs="Arial"/>
          <w:kern w:val="0"/>
          <w:sz w:val="30"/>
          <w:szCs w:val="30"/>
        </w:rPr>
        <w:t>应在接到修理通知之日起的24小时内派人更换。</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（二）</w:t>
      </w:r>
      <w:r>
        <w:rPr>
          <w:rFonts w:hint="eastAsia" w:ascii="宋体" w:hAnsi="宋体" w:cs="Arial"/>
          <w:kern w:val="0"/>
          <w:sz w:val="30"/>
          <w:szCs w:val="30"/>
          <w:lang w:eastAsia="zh-CN"/>
        </w:rPr>
        <w:t>中标人</w:t>
      </w:r>
      <w:r>
        <w:rPr>
          <w:rFonts w:hint="eastAsia" w:ascii="宋体" w:hAnsi="宋体" w:cs="Arial"/>
          <w:kern w:val="0"/>
          <w:sz w:val="30"/>
          <w:szCs w:val="30"/>
        </w:rPr>
        <w:t>在24小时内未到达现场的，</w:t>
      </w:r>
      <w:r>
        <w:rPr>
          <w:rFonts w:hint="eastAsia" w:ascii="宋体" w:hAnsi="宋体" w:cs="Arial"/>
          <w:kern w:val="0"/>
          <w:sz w:val="30"/>
          <w:szCs w:val="30"/>
          <w:lang w:eastAsia="zh-CN"/>
        </w:rPr>
        <w:t>招标人</w:t>
      </w:r>
      <w:r>
        <w:rPr>
          <w:rFonts w:hint="eastAsia" w:ascii="宋体" w:hAnsi="宋体" w:cs="Arial"/>
          <w:kern w:val="0"/>
          <w:sz w:val="30"/>
          <w:szCs w:val="30"/>
        </w:rPr>
        <w:t>有权从其他的</w:t>
      </w:r>
      <w:r>
        <w:rPr>
          <w:rFonts w:hint="eastAsia" w:ascii="宋体" w:hAnsi="宋体" w:cs="Arial"/>
          <w:kern w:val="0"/>
          <w:sz w:val="30"/>
          <w:szCs w:val="30"/>
          <w:lang w:eastAsia="zh-CN"/>
        </w:rPr>
        <w:t>投标人</w:t>
      </w:r>
      <w:r>
        <w:rPr>
          <w:rFonts w:hint="eastAsia" w:ascii="宋体" w:hAnsi="宋体" w:cs="Arial"/>
          <w:kern w:val="0"/>
          <w:sz w:val="30"/>
          <w:szCs w:val="30"/>
        </w:rPr>
        <w:t>中得到服务，由于故障所造成的全部损失由</w:t>
      </w:r>
      <w:r>
        <w:rPr>
          <w:rFonts w:hint="eastAsia" w:ascii="宋体" w:hAnsi="宋体" w:cs="Arial"/>
          <w:kern w:val="0"/>
          <w:sz w:val="30"/>
          <w:szCs w:val="30"/>
          <w:lang w:eastAsia="zh-CN"/>
        </w:rPr>
        <w:t>中标人</w:t>
      </w:r>
      <w:r>
        <w:rPr>
          <w:rFonts w:hint="eastAsia" w:ascii="宋体" w:hAnsi="宋体" w:cs="Arial"/>
          <w:kern w:val="0"/>
          <w:sz w:val="30"/>
          <w:szCs w:val="30"/>
        </w:rPr>
        <w:t>承担。</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rPr>
        <w:t>（三）维修工程师赴现场后应及时对故障设备进行检修，对于一般故障应在48小时内修复；对于重大故障应在96小时内修复。</w:t>
      </w:r>
    </w:p>
    <w:p>
      <w:pPr>
        <w:snapToGrid w:val="0"/>
        <w:spacing w:line="500" w:lineRule="exact"/>
        <w:ind w:firstLine="480"/>
        <w:jc w:val="left"/>
        <w:rPr>
          <w:rFonts w:hint="eastAsia" w:ascii="宋体" w:hAnsi="宋体" w:cs="Arial"/>
          <w:kern w:val="0"/>
          <w:sz w:val="30"/>
          <w:szCs w:val="30"/>
        </w:rPr>
      </w:pPr>
      <w:r>
        <w:rPr>
          <w:rFonts w:hint="eastAsia" w:ascii="宋体" w:hAnsi="宋体" w:cs="Arial"/>
          <w:kern w:val="0"/>
          <w:sz w:val="30"/>
          <w:szCs w:val="30"/>
        </w:rPr>
        <w:t>（四）质保期结束前，须由</w:t>
      </w:r>
      <w:r>
        <w:rPr>
          <w:rFonts w:hint="eastAsia" w:ascii="宋体" w:hAnsi="宋体" w:cs="Arial"/>
          <w:kern w:val="0"/>
          <w:sz w:val="30"/>
          <w:szCs w:val="30"/>
          <w:lang w:eastAsia="zh-CN"/>
        </w:rPr>
        <w:t>中标人</w:t>
      </w:r>
      <w:r>
        <w:rPr>
          <w:rFonts w:hint="eastAsia" w:ascii="宋体" w:hAnsi="宋体" w:cs="Arial"/>
          <w:kern w:val="0"/>
          <w:sz w:val="30"/>
          <w:szCs w:val="30"/>
        </w:rPr>
        <w:t>和</w:t>
      </w:r>
      <w:r>
        <w:rPr>
          <w:rFonts w:hint="eastAsia" w:ascii="宋体" w:hAnsi="宋体" w:cs="Arial"/>
          <w:kern w:val="0"/>
          <w:sz w:val="30"/>
          <w:szCs w:val="30"/>
          <w:lang w:eastAsia="zh-CN"/>
        </w:rPr>
        <w:t>招标人</w:t>
      </w:r>
      <w:r>
        <w:rPr>
          <w:rFonts w:hint="eastAsia" w:ascii="宋体" w:hAnsi="宋体" w:cs="Arial"/>
          <w:kern w:val="0"/>
          <w:sz w:val="30"/>
          <w:szCs w:val="30"/>
        </w:rPr>
        <w:t>进行一次全面检查，因产品本身存在的任何缺陷必须由</w:t>
      </w:r>
      <w:r>
        <w:rPr>
          <w:rFonts w:hint="eastAsia" w:ascii="宋体" w:hAnsi="宋体" w:cs="Arial"/>
          <w:kern w:val="0"/>
          <w:sz w:val="30"/>
          <w:szCs w:val="30"/>
          <w:lang w:eastAsia="zh-CN"/>
        </w:rPr>
        <w:t>中标人</w:t>
      </w:r>
      <w:r>
        <w:rPr>
          <w:rFonts w:hint="eastAsia" w:ascii="宋体" w:hAnsi="宋体" w:cs="Arial"/>
          <w:kern w:val="0"/>
          <w:sz w:val="30"/>
          <w:szCs w:val="30"/>
        </w:rPr>
        <w:t>负责更换零部件，在更换之后，</w:t>
      </w:r>
      <w:r>
        <w:rPr>
          <w:rFonts w:hint="eastAsia" w:ascii="宋体" w:hAnsi="宋体" w:cs="Arial"/>
          <w:kern w:val="0"/>
          <w:sz w:val="30"/>
          <w:szCs w:val="30"/>
          <w:lang w:eastAsia="zh-CN"/>
        </w:rPr>
        <w:t>中标人</w:t>
      </w:r>
      <w:r>
        <w:rPr>
          <w:rFonts w:hint="eastAsia" w:ascii="宋体" w:hAnsi="宋体" w:cs="Arial"/>
          <w:kern w:val="0"/>
          <w:sz w:val="30"/>
          <w:szCs w:val="30"/>
        </w:rPr>
        <w:t>将缺陷原因、恢复正常的时间和日期等报告给</w:t>
      </w:r>
      <w:r>
        <w:rPr>
          <w:rFonts w:hint="eastAsia" w:ascii="宋体" w:hAnsi="宋体" w:cs="Arial"/>
          <w:kern w:val="0"/>
          <w:sz w:val="30"/>
          <w:szCs w:val="30"/>
          <w:lang w:eastAsia="zh-CN"/>
        </w:rPr>
        <w:t>招标人</w:t>
      </w:r>
      <w:r>
        <w:rPr>
          <w:rFonts w:hint="eastAsia" w:ascii="宋体" w:hAnsi="宋体" w:cs="Arial"/>
          <w:kern w:val="0"/>
          <w:sz w:val="30"/>
          <w:szCs w:val="30"/>
        </w:rPr>
        <w:t>，报告一式两份。</w:t>
      </w:r>
    </w:p>
    <w:p>
      <w:pPr>
        <w:snapToGrid w:val="0"/>
        <w:spacing w:line="500" w:lineRule="exact"/>
        <w:ind w:firstLine="480"/>
        <w:jc w:val="left"/>
        <w:rPr>
          <w:rFonts w:hint="eastAsia" w:ascii="宋体" w:hAnsi="宋体" w:eastAsia="宋体" w:cs="Arial"/>
          <w:color w:val="FF0000"/>
          <w:kern w:val="0"/>
          <w:sz w:val="30"/>
          <w:szCs w:val="30"/>
          <w:lang w:eastAsia="zh-CN"/>
        </w:rPr>
      </w:pPr>
      <w:r>
        <w:rPr>
          <w:rFonts w:hint="eastAsia" w:ascii="宋体" w:hAnsi="宋体" w:cs="Arial"/>
          <w:kern w:val="0"/>
          <w:sz w:val="30"/>
          <w:szCs w:val="30"/>
          <w:lang w:eastAsia="zh-CN"/>
        </w:rPr>
        <w:t>（</w:t>
      </w:r>
      <w:r>
        <w:rPr>
          <w:rFonts w:hint="eastAsia" w:ascii="宋体" w:hAnsi="宋体" w:cs="Arial"/>
          <w:color w:val="auto"/>
          <w:kern w:val="0"/>
          <w:sz w:val="30"/>
          <w:szCs w:val="30"/>
          <w:lang w:eastAsia="zh-CN"/>
        </w:rPr>
        <w:t>五）</w:t>
      </w:r>
      <w:r>
        <w:rPr>
          <w:rFonts w:hint="eastAsia" w:ascii="宋体" w:hAnsi="宋体" w:cs="Arial"/>
          <w:color w:val="auto"/>
          <w:kern w:val="0"/>
          <w:sz w:val="30"/>
          <w:szCs w:val="30"/>
        </w:rPr>
        <w:t>质保期结束</w:t>
      </w:r>
      <w:r>
        <w:rPr>
          <w:rFonts w:hint="eastAsia" w:ascii="宋体" w:hAnsi="宋体" w:cs="Arial"/>
          <w:color w:val="auto"/>
          <w:kern w:val="0"/>
          <w:sz w:val="30"/>
          <w:szCs w:val="30"/>
          <w:lang w:eastAsia="zh-CN"/>
        </w:rPr>
        <w:t>后，经中标人</w:t>
      </w:r>
      <w:r>
        <w:rPr>
          <w:rFonts w:hint="eastAsia" w:ascii="宋体" w:hAnsi="宋体" w:cs="Arial"/>
          <w:color w:val="auto"/>
          <w:kern w:val="0"/>
          <w:sz w:val="30"/>
          <w:szCs w:val="30"/>
        </w:rPr>
        <w:t>和</w:t>
      </w:r>
      <w:r>
        <w:rPr>
          <w:rFonts w:hint="eastAsia" w:ascii="宋体" w:hAnsi="宋体" w:cs="Arial"/>
          <w:color w:val="auto"/>
          <w:kern w:val="0"/>
          <w:sz w:val="30"/>
          <w:szCs w:val="30"/>
          <w:lang w:eastAsia="zh-CN"/>
        </w:rPr>
        <w:t>招标人共同</w:t>
      </w:r>
      <w:r>
        <w:rPr>
          <w:rFonts w:hint="eastAsia" w:ascii="宋体" w:hAnsi="宋体" w:cs="Arial"/>
          <w:color w:val="auto"/>
          <w:kern w:val="0"/>
          <w:sz w:val="30"/>
          <w:szCs w:val="30"/>
        </w:rPr>
        <w:t>检查</w:t>
      </w:r>
      <w:r>
        <w:rPr>
          <w:rFonts w:hint="eastAsia" w:ascii="宋体" w:hAnsi="宋体" w:cs="Arial"/>
          <w:color w:val="auto"/>
          <w:kern w:val="0"/>
          <w:sz w:val="30"/>
          <w:szCs w:val="30"/>
          <w:lang w:eastAsia="zh-CN"/>
        </w:rPr>
        <w:t>、整改，工程项目质量全部达到相关的设计要求的，招标人按规定将</w:t>
      </w:r>
      <w:r>
        <w:rPr>
          <w:rFonts w:hint="eastAsia" w:ascii="宋体" w:hAnsi="宋体" w:cs="宋体"/>
          <w:color w:val="auto"/>
          <w:sz w:val="30"/>
          <w:szCs w:val="30"/>
          <w:shd w:val="clear" w:color="auto" w:fill="FFFFFF"/>
        </w:rPr>
        <w:t>质保金</w:t>
      </w:r>
      <w:r>
        <w:rPr>
          <w:rFonts w:hint="eastAsia" w:ascii="宋体" w:hAnsi="宋体" w:cs="宋体"/>
          <w:color w:val="auto"/>
          <w:sz w:val="30"/>
          <w:szCs w:val="30"/>
          <w:shd w:val="clear" w:color="auto" w:fill="FFFFFF"/>
          <w:lang w:eastAsia="zh-CN"/>
        </w:rPr>
        <w:t>退还</w:t>
      </w:r>
      <w:r>
        <w:rPr>
          <w:rFonts w:hint="eastAsia" w:ascii="宋体" w:hAnsi="宋体" w:cs="Arial"/>
          <w:color w:val="auto"/>
          <w:kern w:val="0"/>
          <w:sz w:val="30"/>
          <w:szCs w:val="30"/>
          <w:lang w:eastAsia="zh-CN"/>
        </w:rPr>
        <w:t>中标人，否则没收质保金。</w:t>
      </w:r>
    </w:p>
    <w:p>
      <w:pPr>
        <w:spacing w:line="500" w:lineRule="exact"/>
        <w:ind w:firstLine="482"/>
        <w:rPr>
          <w:rFonts w:hint="eastAsia" w:ascii="宋体" w:hAnsi="宋体" w:eastAsia="宋体"/>
          <w:b/>
          <w:color w:val="000000"/>
          <w:sz w:val="30"/>
          <w:szCs w:val="30"/>
          <w:lang w:val="en-US" w:eastAsia="zh-CN"/>
        </w:rPr>
      </w:pPr>
      <w:r>
        <w:rPr>
          <w:rFonts w:hint="eastAsia" w:ascii="宋体" w:hAnsi="宋体"/>
          <w:b/>
          <w:color w:val="000000"/>
          <w:sz w:val="30"/>
          <w:szCs w:val="30"/>
        </w:rPr>
        <w:t>五、备供应</w:t>
      </w:r>
      <w:r>
        <w:rPr>
          <w:rFonts w:hint="eastAsia" w:ascii="宋体" w:hAnsi="宋体"/>
          <w:b/>
          <w:color w:val="000000"/>
          <w:sz w:val="30"/>
          <w:szCs w:val="30"/>
          <w:lang w:val="en-US" w:eastAsia="zh-CN"/>
        </w:rPr>
        <w:t>件</w:t>
      </w:r>
    </w:p>
    <w:p>
      <w:pPr>
        <w:snapToGrid w:val="0"/>
        <w:spacing w:line="500" w:lineRule="exact"/>
        <w:ind w:firstLine="480"/>
        <w:jc w:val="left"/>
        <w:rPr>
          <w:rFonts w:ascii="宋体" w:hAnsi="宋体" w:cs="Arial"/>
          <w:kern w:val="0"/>
          <w:sz w:val="30"/>
          <w:szCs w:val="30"/>
        </w:rPr>
      </w:pPr>
      <w:r>
        <w:rPr>
          <w:rFonts w:hint="eastAsia" w:ascii="宋体" w:hAnsi="宋体" w:cs="Arial"/>
          <w:kern w:val="0"/>
          <w:sz w:val="30"/>
          <w:szCs w:val="30"/>
          <w:lang w:eastAsia="zh-CN"/>
        </w:rPr>
        <w:t>中标人</w:t>
      </w:r>
      <w:r>
        <w:rPr>
          <w:rFonts w:ascii="宋体" w:hAnsi="宋体" w:cs="Arial"/>
          <w:kern w:val="0"/>
          <w:sz w:val="30"/>
          <w:szCs w:val="30"/>
        </w:rPr>
        <w:t>对设备须提供足够的</w:t>
      </w:r>
      <w:r>
        <w:rPr>
          <w:rFonts w:hint="eastAsia" w:ascii="宋体" w:hAnsi="宋体" w:cs="Arial"/>
          <w:kern w:val="0"/>
          <w:sz w:val="30"/>
          <w:szCs w:val="30"/>
        </w:rPr>
        <w:t>备品备件</w:t>
      </w:r>
      <w:r>
        <w:rPr>
          <w:rFonts w:ascii="宋体" w:hAnsi="宋体" w:cs="Arial"/>
          <w:kern w:val="0"/>
          <w:sz w:val="30"/>
          <w:szCs w:val="30"/>
        </w:rPr>
        <w:t>和易损件，并保证是原厂生产的产品，以满足设备正常运行的需要。须列出备件及易损件的清单及价格。</w:t>
      </w:r>
    </w:p>
    <w:p>
      <w:pPr>
        <w:spacing w:line="500" w:lineRule="exact"/>
        <w:ind w:firstLine="482"/>
        <w:rPr>
          <w:rFonts w:ascii="宋体" w:hAnsi="宋体"/>
          <w:b/>
          <w:color w:val="000000"/>
          <w:sz w:val="30"/>
          <w:szCs w:val="30"/>
        </w:rPr>
      </w:pPr>
      <w:r>
        <w:rPr>
          <w:rFonts w:hint="eastAsia" w:ascii="宋体" w:hAnsi="宋体"/>
          <w:b/>
          <w:color w:val="000000"/>
          <w:sz w:val="30"/>
          <w:szCs w:val="30"/>
        </w:rPr>
        <w:t>六、检验和维修设备及工具</w:t>
      </w:r>
    </w:p>
    <w:p>
      <w:pPr>
        <w:rPr>
          <w:sz w:val="30"/>
          <w:szCs w:val="30"/>
        </w:rPr>
      </w:pPr>
      <w:r>
        <w:rPr>
          <w:rFonts w:hint="eastAsia"/>
          <w:sz w:val="30"/>
          <w:szCs w:val="30"/>
          <w:lang w:eastAsia="zh-CN"/>
        </w:rPr>
        <w:t>中标人</w:t>
      </w:r>
      <w:r>
        <w:rPr>
          <w:sz w:val="30"/>
          <w:szCs w:val="30"/>
        </w:rPr>
        <w:t>须</w:t>
      </w:r>
      <w:r>
        <w:rPr>
          <w:rFonts w:hint="eastAsia"/>
          <w:sz w:val="30"/>
          <w:szCs w:val="30"/>
          <w:lang w:eastAsia="zh-CN"/>
        </w:rPr>
        <w:t>在工程安装完成交付使用前</w:t>
      </w:r>
      <w:r>
        <w:rPr>
          <w:sz w:val="30"/>
          <w:szCs w:val="30"/>
        </w:rPr>
        <w:t>免费提供</w:t>
      </w:r>
      <w:r>
        <w:rPr>
          <w:rFonts w:hint="eastAsia"/>
          <w:sz w:val="30"/>
          <w:szCs w:val="30"/>
          <w:lang w:eastAsia="zh-CN"/>
        </w:rPr>
        <w:t>包括但不限于</w:t>
      </w:r>
      <w:r>
        <w:rPr>
          <w:sz w:val="30"/>
          <w:szCs w:val="30"/>
        </w:rPr>
        <w:t>足够的</w:t>
      </w:r>
      <w:r>
        <w:rPr>
          <w:rFonts w:hint="eastAsia"/>
          <w:sz w:val="30"/>
          <w:szCs w:val="30"/>
          <w:lang w:eastAsia="zh-CN"/>
        </w:rPr>
        <w:t>、未用于安装使用的全新</w:t>
      </w:r>
      <w:r>
        <w:rPr>
          <w:sz w:val="30"/>
          <w:szCs w:val="30"/>
        </w:rPr>
        <w:t>常用检修</w:t>
      </w:r>
      <w:r>
        <w:rPr>
          <w:rFonts w:hint="eastAsia"/>
          <w:sz w:val="30"/>
          <w:szCs w:val="30"/>
          <w:lang w:eastAsia="zh-CN"/>
        </w:rPr>
        <w:t>工具或</w:t>
      </w:r>
      <w:r>
        <w:rPr>
          <w:sz w:val="30"/>
          <w:szCs w:val="30"/>
        </w:rPr>
        <w:t>设备</w:t>
      </w:r>
      <w:r>
        <w:rPr>
          <w:rFonts w:hint="eastAsia"/>
          <w:sz w:val="30"/>
          <w:szCs w:val="30"/>
          <w:lang w:eastAsia="zh-CN"/>
        </w:rPr>
        <w:t>、</w:t>
      </w:r>
      <w:r>
        <w:rPr>
          <w:sz w:val="30"/>
          <w:szCs w:val="30"/>
        </w:rPr>
        <w:t>所有测试需要的附件、零部件</w:t>
      </w:r>
      <w:r>
        <w:rPr>
          <w:rFonts w:hint="eastAsia"/>
          <w:sz w:val="30"/>
          <w:szCs w:val="30"/>
          <w:lang w:eastAsia="zh-CN"/>
        </w:rPr>
        <w:t>、备品配件</w:t>
      </w:r>
      <w:r>
        <w:rPr>
          <w:sz w:val="30"/>
          <w:szCs w:val="30"/>
        </w:rPr>
        <w:t>和中文操作维修手册</w:t>
      </w:r>
      <w:r>
        <w:rPr>
          <w:rFonts w:hint="eastAsia"/>
          <w:sz w:val="30"/>
          <w:szCs w:val="30"/>
          <w:lang w:eastAsia="zh-CN"/>
        </w:rPr>
        <w:t>等</w:t>
      </w:r>
      <w:r>
        <w:rPr>
          <w:sz w:val="30"/>
          <w:szCs w:val="30"/>
        </w:rPr>
        <w:t>。推荐的检修设备须在投标文件中注明。</w:t>
      </w:r>
    </w:p>
    <w:p>
      <w:pPr>
        <w:ind w:firstLine="602" w:firstLineChars="200"/>
        <w:rPr>
          <w:b/>
          <w:bCs/>
          <w:sz w:val="30"/>
          <w:szCs w:val="30"/>
        </w:rPr>
      </w:pPr>
      <w:r>
        <w:rPr>
          <w:rFonts w:hint="eastAsia"/>
          <w:b/>
          <w:bCs/>
          <w:sz w:val="30"/>
          <w:szCs w:val="30"/>
        </w:rPr>
        <w:t>七、培训</w:t>
      </w:r>
    </w:p>
    <w:p>
      <w:pPr>
        <w:ind w:firstLine="600" w:firstLineChars="200"/>
        <w:rPr>
          <w:rFonts w:ascii="宋体" w:hAnsi="宋体" w:cs="Arial"/>
          <w:kern w:val="0"/>
          <w:sz w:val="30"/>
          <w:szCs w:val="30"/>
        </w:rPr>
      </w:pPr>
      <w:r>
        <w:rPr>
          <w:rFonts w:hint="eastAsia"/>
          <w:sz w:val="30"/>
          <w:szCs w:val="30"/>
        </w:rPr>
        <w:t>工程验收前</w:t>
      </w:r>
      <w:r>
        <w:rPr>
          <w:sz w:val="30"/>
          <w:szCs w:val="30"/>
        </w:rPr>
        <w:t>，</w:t>
      </w:r>
      <w:r>
        <w:rPr>
          <w:rFonts w:hint="eastAsia"/>
          <w:sz w:val="30"/>
          <w:szCs w:val="30"/>
          <w:lang w:eastAsia="zh-CN"/>
        </w:rPr>
        <w:t>中标人</w:t>
      </w:r>
      <w:r>
        <w:rPr>
          <w:sz w:val="30"/>
          <w:szCs w:val="30"/>
        </w:rPr>
        <w:t>应就其所提供的设备及操作系统，对</w:t>
      </w:r>
      <w:r>
        <w:rPr>
          <w:rFonts w:hint="eastAsia"/>
          <w:sz w:val="30"/>
          <w:szCs w:val="30"/>
          <w:lang w:val="en-US" w:eastAsia="zh-CN"/>
        </w:rPr>
        <w:t>招</w:t>
      </w:r>
      <w:r>
        <w:rPr>
          <w:rFonts w:hint="eastAsia"/>
          <w:sz w:val="30"/>
          <w:szCs w:val="30"/>
          <w:lang w:eastAsia="zh-CN"/>
        </w:rPr>
        <w:t>标人配备</w:t>
      </w:r>
      <w:r>
        <w:rPr>
          <w:sz w:val="30"/>
          <w:szCs w:val="30"/>
        </w:rPr>
        <w:t>的</w:t>
      </w:r>
      <w:r>
        <w:rPr>
          <w:rFonts w:hint="eastAsia"/>
          <w:sz w:val="30"/>
          <w:szCs w:val="30"/>
          <w:lang w:eastAsia="zh-CN"/>
        </w:rPr>
        <w:t>工作</w:t>
      </w:r>
      <w:r>
        <w:rPr>
          <w:sz w:val="30"/>
          <w:szCs w:val="30"/>
        </w:rPr>
        <w:t>人员进行操作、安全保护措施和维护保养</w:t>
      </w:r>
      <w:r>
        <w:rPr>
          <w:rFonts w:hint="eastAsia"/>
          <w:sz w:val="30"/>
          <w:szCs w:val="30"/>
          <w:lang w:eastAsia="zh-CN"/>
        </w:rPr>
        <w:t>等免费</w:t>
      </w:r>
      <w:r>
        <w:rPr>
          <w:sz w:val="30"/>
          <w:szCs w:val="30"/>
        </w:rPr>
        <w:t>培训。培训工作在</w:t>
      </w:r>
      <w:r>
        <w:rPr>
          <w:rFonts w:hint="eastAsia"/>
          <w:sz w:val="30"/>
          <w:szCs w:val="30"/>
          <w:lang w:val="en-US" w:eastAsia="zh-CN"/>
        </w:rPr>
        <w:t>招标方</w:t>
      </w:r>
      <w:r>
        <w:rPr>
          <w:sz w:val="30"/>
          <w:szCs w:val="30"/>
        </w:rPr>
        <w:t>进行</w:t>
      </w:r>
      <w:r>
        <w:rPr>
          <w:rFonts w:hint="eastAsia"/>
          <w:sz w:val="30"/>
          <w:szCs w:val="30"/>
          <w:lang w:eastAsia="zh-CN"/>
        </w:rPr>
        <w:t>，</w:t>
      </w:r>
      <w:r>
        <w:rPr>
          <w:sz w:val="30"/>
          <w:szCs w:val="30"/>
        </w:rPr>
        <w:t>培训内容包括</w:t>
      </w:r>
      <w:r>
        <w:rPr>
          <w:rFonts w:hint="eastAsia"/>
          <w:sz w:val="30"/>
          <w:szCs w:val="30"/>
          <w:lang w:eastAsia="zh-CN"/>
        </w:rPr>
        <w:t>但不限于</w:t>
      </w:r>
      <w:r>
        <w:rPr>
          <w:sz w:val="30"/>
          <w:szCs w:val="30"/>
        </w:rPr>
        <w:t>主要设备的结构介绍、使用性能、操作程序、安全措施和维护修理程序和方法</w:t>
      </w:r>
      <w:r>
        <w:rPr>
          <w:rFonts w:hint="eastAsia"/>
          <w:sz w:val="30"/>
          <w:szCs w:val="30"/>
          <w:lang w:eastAsia="zh-CN"/>
        </w:rPr>
        <w:t>等</w:t>
      </w:r>
      <w:r>
        <w:rPr>
          <w:sz w:val="30"/>
          <w:szCs w:val="30"/>
        </w:rPr>
        <w:t>。培训方式包括理论讲课和实际操作。</w:t>
      </w:r>
      <w:r>
        <w:rPr>
          <w:rFonts w:hint="eastAsia"/>
          <w:sz w:val="30"/>
          <w:szCs w:val="30"/>
          <w:lang w:eastAsia="zh-CN"/>
        </w:rPr>
        <w:t>中标人</w:t>
      </w:r>
      <w:r>
        <w:rPr>
          <w:sz w:val="30"/>
          <w:szCs w:val="30"/>
        </w:rPr>
        <w:t>应为培训人员提供正规的培训手册。</w:t>
      </w:r>
    </w:p>
    <w:p>
      <w:pPr>
        <w:spacing w:line="500" w:lineRule="exact"/>
        <w:ind w:firstLine="482"/>
        <w:rPr>
          <w:rFonts w:ascii="宋体" w:hAnsi="宋体"/>
          <w:b/>
          <w:color w:val="000000"/>
          <w:sz w:val="30"/>
          <w:szCs w:val="30"/>
          <w:u w:val="single"/>
        </w:rPr>
      </w:pPr>
      <w:r>
        <w:rPr>
          <w:rFonts w:hint="eastAsia" w:ascii="宋体" w:hAnsi="宋体"/>
          <w:b/>
          <w:kern w:val="0"/>
          <w:sz w:val="30"/>
          <w:szCs w:val="30"/>
        </w:rPr>
        <w:t>八、</w:t>
      </w:r>
      <w:r>
        <w:rPr>
          <w:rFonts w:hint="eastAsia" w:ascii="宋体" w:hAnsi="宋体"/>
          <w:b/>
          <w:color w:val="000000"/>
          <w:sz w:val="30"/>
          <w:szCs w:val="30"/>
        </w:rPr>
        <w:t>主要设备材料备选品牌一览表</w:t>
      </w:r>
    </w:p>
    <w:tbl>
      <w:tblPr>
        <w:tblStyle w:val="14"/>
        <w:tblW w:w="5000" w:type="pct"/>
        <w:tblInd w:w="0" w:type="dxa"/>
        <w:tblLayout w:type="autofit"/>
        <w:tblCellMar>
          <w:top w:w="0" w:type="dxa"/>
          <w:left w:w="108" w:type="dxa"/>
          <w:bottom w:w="0" w:type="dxa"/>
          <w:right w:w="108" w:type="dxa"/>
        </w:tblCellMar>
      </w:tblPr>
      <w:tblGrid>
        <w:gridCol w:w="827"/>
        <w:gridCol w:w="3111"/>
        <w:gridCol w:w="4806"/>
        <w:gridCol w:w="1110"/>
      </w:tblGrid>
      <w:tr>
        <w:tblPrEx>
          <w:tblCellMar>
            <w:top w:w="0" w:type="dxa"/>
            <w:left w:w="108" w:type="dxa"/>
            <w:bottom w:w="0" w:type="dxa"/>
            <w:right w:w="108" w:type="dxa"/>
          </w:tblCellMar>
        </w:tblPrEx>
        <w:trPr>
          <w:trHeight w:val="367" w:hRule="atLeast"/>
          <w:tblHeader/>
        </w:trPr>
        <w:tc>
          <w:tcPr>
            <w:tcW w:w="420" w:type="pct"/>
            <w:tcBorders>
              <w:top w:val="single" w:color="auto" w:sz="4" w:space="0"/>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sz w:val="30"/>
                <w:szCs w:val="30"/>
                <w:lang w:val="zh-CN"/>
              </w:rPr>
              <w:t>序号</w:t>
            </w:r>
          </w:p>
        </w:tc>
        <w:tc>
          <w:tcPr>
            <w:tcW w:w="1578" w:type="pct"/>
            <w:tcBorders>
              <w:top w:val="single" w:color="auto" w:sz="4" w:space="0"/>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sz w:val="30"/>
                <w:szCs w:val="30"/>
                <w:lang w:val="zh-CN"/>
              </w:rPr>
              <w:t>设备名称</w:t>
            </w:r>
          </w:p>
        </w:tc>
        <w:tc>
          <w:tcPr>
            <w:tcW w:w="2438" w:type="pct"/>
            <w:tcBorders>
              <w:top w:val="single" w:color="auto" w:sz="4" w:space="0"/>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sz w:val="30"/>
                <w:szCs w:val="30"/>
                <w:lang w:val="zh-CN"/>
              </w:rPr>
              <w:t>品牌</w:t>
            </w:r>
          </w:p>
        </w:tc>
        <w:tc>
          <w:tcPr>
            <w:tcW w:w="563" w:type="pct"/>
            <w:tcBorders>
              <w:top w:val="single" w:color="auto" w:sz="4" w:space="0"/>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sz w:val="30"/>
                <w:szCs w:val="30"/>
                <w:lang w:val="zh-CN"/>
              </w:rPr>
              <w:t>备注</w:t>
            </w:r>
          </w:p>
        </w:tc>
      </w:tr>
      <w:tr>
        <w:tblPrEx>
          <w:tblCellMar>
            <w:top w:w="0" w:type="dxa"/>
            <w:left w:w="108" w:type="dxa"/>
            <w:bottom w:w="0" w:type="dxa"/>
            <w:right w:w="108" w:type="dxa"/>
          </w:tblCellMar>
        </w:tblPrEx>
        <w:trPr>
          <w:trHeight w:val="376"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1</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rFonts w:hint="eastAsia"/>
                <w:sz w:val="30"/>
                <w:szCs w:val="30"/>
              </w:rPr>
              <w:t>污</w:t>
            </w:r>
            <w:r>
              <w:rPr>
                <w:sz w:val="30"/>
                <w:szCs w:val="30"/>
                <w:lang w:val="zh-CN"/>
              </w:rPr>
              <w:t>水泵</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rFonts w:hint="eastAsia"/>
                <w:sz w:val="30"/>
                <w:szCs w:val="30"/>
              </w:rPr>
              <w:t>南京德蓝仕</w:t>
            </w:r>
            <w:r>
              <w:rPr>
                <w:sz w:val="30"/>
                <w:szCs w:val="30"/>
                <w:lang w:val="zh-CN"/>
              </w:rPr>
              <w:t>、</w:t>
            </w:r>
            <w:r>
              <w:rPr>
                <w:rFonts w:hint="eastAsia"/>
                <w:sz w:val="30"/>
                <w:szCs w:val="30"/>
              </w:rPr>
              <w:t>上海东方</w:t>
            </w:r>
            <w:r>
              <w:rPr>
                <w:sz w:val="30"/>
                <w:szCs w:val="30"/>
                <w:lang w:val="zh-CN"/>
              </w:rPr>
              <w:t>、</w:t>
            </w:r>
            <w:r>
              <w:rPr>
                <w:rFonts w:hint="eastAsia"/>
                <w:sz w:val="30"/>
                <w:szCs w:val="30"/>
              </w:rPr>
              <w:t>上海凯泉</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　</w:t>
            </w:r>
          </w:p>
        </w:tc>
      </w:tr>
      <w:tr>
        <w:tblPrEx>
          <w:tblCellMar>
            <w:top w:w="0" w:type="dxa"/>
            <w:left w:w="108" w:type="dxa"/>
            <w:bottom w:w="0" w:type="dxa"/>
            <w:right w:w="108" w:type="dxa"/>
          </w:tblCellMar>
        </w:tblPrEx>
        <w:trPr>
          <w:trHeight w:val="404"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2</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sz w:val="30"/>
                <w:szCs w:val="30"/>
                <w:lang w:val="zh-CN"/>
              </w:rPr>
              <w:t>投入式液位计</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川仪、上仪、</w:t>
            </w:r>
            <w:r>
              <w:rPr>
                <w:rFonts w:hint="eastAsia"/>
                <w:sz w:val="30"/>
                <w:szCs w:val="30"/>
              </w:rPr>
              <w:t>力普</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　</w:t>
            </w:r>
          </w:p>
        </w:tc>
      </w:tr>
      <w:tr>
        <w:tblPrEx>
          <w:tblCellMar>
            <w:top w:w="0" w:type="dxa"/>
            <w:left w:w="108" w:type="dxa"/>
            <w:bottom w:w="0" w:type="dxa"/>
            <w:right w:w="108" w:type="dxa"/>
          </w:tblCellMar>
        </w:tblPrEx>
        <w:trPr>
          <w:trHeight w:val="385"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12"/>
                <w:tab w:val="left" w:pos="9180"/>
              </w:tabs>
              <w:spacing w:line="500" w:lineRule="exact"/>
              <w:rPr>
                <w:rFonts w:hint="default" w:eastAsia="宋体"/>
                <w:sz w:val="30"/>
                <w:szCs w:val="30"/>
                <w:lang w:val="en-US" w:eastAsia="zh-CN"/>
              </w:rPr>
            </w:pPr>
            <w:r>
              <w:rPr>
                <w:rFonts w:hint="eastAsia"/>
                <w:sz w:val="30"/>
                <w:szCs w:val="30"/>
                <w:lang w:val="en-US" w:eastAsia="zh-CN"/>
              </w:rPr>
              <w:t>3</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sz w:val="30"/>
                <w:szCs w:val="30"/>
                <w:lang w:val="zh-CN"/>
              </w:rPr>
              <w:t>在线检测仪</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b/>
                <w:bCs/>
                <w:color w:val="FF0000"/>
                <w:sz w:val="30"/>
                <w:szCs w:val="30"/>
                <w:lang w:val="zh-CN"/>
              </w:rPr>
            </w:pPr>
            <w:r>
              <w:rPr>
                <w:rFonts w:hint="eastAsia"/>
                <w:sz w:val="30"/>
                <w:szCs w:val="30"/>
              </w:rPr>
              <w:t>台湾合泰</w:t>
            </w:r>
            <w:r>
              <w:rPr>
                <w:sz w:val="30"/>
                <w:szCs w:val="30"/>
                <w:lang w:val="zh-CN"/>
              </w:rPr>
              <w:t>、普罗名特</w:t>
            </w:r>
            <w:r>
              <w:rPr>
                <w:rFonts w:hint="eastAsia"/>
                <w:sz w:val="30"/>
                <w:szCs w:val="30"/>
                <w:lang w:val="zh-CN"/>
              </w:rPr>
              <w:t>、</w:t>
            </w:r>
            <w:r>
              <w:rPr>
                <w:rFonts w:hint="eastAsia"/>
                <w:sz w:val="30"/>
                <w:szCs w:val="30"/>
              </w:rPr>
              <w:t>新加波MJ</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　</w:t>
            </w:r>
          </w:p>
        </w:tc>
      </w:tr>
      <w:tr>
        <w:tblPrEx>
          <w:tblCellMar>
            <w:top w:w="0" w:type="dxa"/>
            <w:left w:w="108" w:type="dxa"/>
            <w:bottom w:w="0" w:type="dxa"/>
            <w:right w:w="108" w:type="dxa"/>
          </w:tblCellMar>
        </w:tblPrEx>
        <w:trPr>
          <w:trHeight w:val="385"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default" w:eastAsia="宋体"/>
                <w:sz w:val="30"/>
                <w:szCs w:val="30"/>
                <w:lang w:val="en-US" w:eastAsia="zh-CN"/>
              </w:rPr>
            </w:pPr>
            <w:r>
              <w:rPr>
                <w:rFonts w:hint="eastAsia"/>
                <w:sz w:val="30"/>
                <w:szCs w:val="30"/>
                <w:lang w:val="en-US" w:eastAsia="zh-CN"/>
              </w:rPr>
              <w:t>4</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sz w:val="30"/>
                <w:szCs w:val="30"/>
                <w:lang w:val="zh-CN"/>
              </w:rPr>
              <w:t>鼓风机</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rFonts w:hint="eastAsia"/>
                <w:sz w:val="30"/>
                <w:szCs w:val="30"/>
              </w:rPr>
              <w:t>丰源</w:t>
            </w:r>
            <w:r>
              <w:rPr>
                <w:sz w:val="30"/>
                <w:szCs w:val="30"/>
                <w:lang w:val="zh-CN"/>
              </w:rPr>
              <w:t>、</w:t>
            </w:r>
            <w:r>
              <w:rPr>
                <w:rFonts w:hint="eastAsia"/>
                <w:sz w:val="30"/>
                <w:szCs w:val="30"/>
              </w:rPr>
              <w:t>百事德</w:t>
            </w:r>
            <w:r>
              <w:rPr>
                <w:sz w:val="30"/>
                <w:szCs w:val="30"/>
                <w:lang w:val="zh-CN"/>
              </w:rPr>
              <w:t>、</w:t>
            </w:r>
            <w:r>
              <w:rPr>
                <w:rFonts w:hint="eastAsia"/>
                <w:sz w:val="30"/>
                <w:szCs w:val="30"/>
              </w:rPr>
              <w:t>章煌</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　</w:t>
            </w:r>
          </w:p>
        </w:tc>
      </w:tr>
      <w:tr>
        <w:tblPrEx>
          <w:tblCellMar>
            <w:top w:w="0" w:type="dxa"/>
            <w:left w:w="108" w:type="dxa"/>
            <w:bottom w:w="0" w:type="dxa"/>
            <w:right w:w="108" w:type="dxa"/>
          </w:tblCellMar>
        </w:tblPrEx>
        <w:trPr>
          <w:trHeight w:val="395"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default" w:eastAsia="宋体"/>
                <w:sz w:val="30"/>
                <w:szCs w:val="30"/>
                <w:lang w:val="en-US" w:eastAsia="zh-CN"/>
              </w:rPr>
            </w:pPr>
            <w:r>
              <w:rPr>
                <w:rFonts w:hint="eastAsia"/>
                <w:sz w:val="30"/>
                <w:szCs w:val="30"/>
                <w:lang w:val="en-US" w:eastAsia="zh-CN"/>
              </w:rPr>
              <w:t>5</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rFonts w:hint="eastAsia"/>
                <w:sz w:val="30"/>
                <w:szCs w:val="30"/>
              </w:rPr>
              <w:t>加药</w:t>
            </w:r>
            <w:r>
              <w:rPr>
                <w:sz w:val="30"/>
                <w:szCs w:val="30"/>
                <w:lang w:val="zh-CN"/>
              </w:rPr>
              <w:t>泵</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普罗名特、米顿罗、</w:t>
            </w:r>
            <w:r>
              <w:rPr>
                <w:rFonts w:hint="eastAsia"/>
                <w:sz w:val="30"/>
                <w:szCs w:val="30"/>
              </w:rPr>
              <w:t>台湾精滤</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　</w:t>
            </w:r>
          </w:p>
        </w:tc>
      </w:tr>
      <w:tr>
        <w:tblPrEx>
          <w:tblCellMar>
            <w:top w:w="0" w:type="dxa"/>
            <w:left w:w="108" w:type="dxa"/>
            <w:bottom w:w="0" w:type="dxa"/>
            <w:right w:w="108" w:type="dxa"/>
          </w:tblCellMar>
        </w:tblPrEx>
        <w:trPr>
          <w:trHeight w:val="395"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eastAsia" w:eastAsia="宋体"/>
                <w:sz w:val="30"/>
                <w:szCs w:val="30"/>
                <w:lang w:val="en-US" w:eastAsia="zh-CN"/>
              </w:rPr>
            </w:pPr>
            <w:r>
              <w:rPr>
                <w:rFonts w:hint="eastAsia"/>
                <w:sz w:val="30"/>
                <w:szCs w:val="30"/>
                <w:lang w:val="en-US" w:eastAsia="zh-CN"/>
              </w:rPr>
              <w:t>6</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rPr>
            </w:pPr>
            <w:r>
              <w:rPr>
                <w:rFonts w:hint="eastAsia"/>
                <w:sz w:val="30"/>
                <w:szCs w:val="30"/>
              </w:rPr>
              <w:t>离心风机</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rPr>
            </w:pPr>
            <w:r>
              <w:rPr>
                <w:rFonts w:hint="eastAsia"/>
                <w:sz w:val="30"/>
                <w:szCs w:val="30"/>
              </w:rPr>
              <w:t>九洲普惠、浙江百川、广东百维</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p>
        </w:tc>
      </w:tr>
      <w:tr>
        <w:tblPrEx>
          <w:tblCellMar>
            <w:top w:w="0" w:type="dxa"/>
            <w:left w:w="108" w:type="dxa"/>
            <w:bottom w:w="0" w:type="dxa"/>
            <w:right w:w="108" w:type="dxa"/>
          </w:tblCellMar>
        </w:tblPrEx>
        <w:trPr>
          <w:trHeight w:val="395"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eastAsia" w:eastAsia="宋体"/>
                <w:sz w:val="30"/>
                <w:szCs w:val="30"/>
                <w:lang w:val="en-US" w:eastAsia="zh-CN"/>
              </w:rPr>
            </w:pPr>
            <w:r>
              <w:rPr>
                <w:rFonts w:hint="eastAsia"/>
                <w:sz w:val="30"/>
                <w:szCs w:val="30"/>
                <w:lang w:val="en-US" w:eastAsia="zh-CN"/>
              </w:rPr>
              <w:t>7</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rPr>
            </w:pPr>
            <w:r>
              <w:rPr>
                <w:rFonts w:hint="eastAsia"/>
                <w:sz w:val="30"/>
                <w:szCs w:val="30"/>
              </w:rPr>
              <w:t xml:space="preserve">低温等离子-光催化-活性炭吸附一体机 </w:t>
            </w:r>
            <w:r>
              <w:rPr>
                <w:rFonts w:hint="eastAsia"/>
                <w:sz w:val="24"/>
              </w:rPr>
              <w:t>）</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rPr>
            </w:pPr>
            <w:r>
              <w:rPr>
                <w:rFonts w:hint="eastAsia"/>
                <w:sz w:val="30"/>
                <w:szCs w:val="30"/>
              </w:rPr>
              <w:t>佛山率森、佛山文辉、厦门国净</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p>
        </w:tc>
      </w:tr>
      <w:tr>
        <w:tblPrEx>
          <w:tblCellMar>
            <w:top w:w="0" w:type="dxa"/>
            <w:left w:w="108" w:type="dxa"/>
            <w:bottom w:w="0" w:type="dxa"/>
            <w:right w:w="108" w:type="dxa"/>
          </w:tblCellMar>
        </w:tblPrEx>
        <w:trPr>
          <w:trHeight w:val="442"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eastAsia" w:eastAsia="宋体"/>
                <w:sz w:val="30"/>
                <w:szCs w:val="30"/>
                <w:lang w:val="en-US" w:eastAsia="zh-CN"/>
              </w:rPr>
            </w:pPr>
            <w:r>
              <w:rPr>
                <w:rFonts w:hint="eastAsia"/>
                <w:sz w:val="30"/>
                <w:szCs w:val="30"/>
                <w:lang w:val="en-US" w:eastAsia="zh-CN"/>
              </w:rPr>
              <w:t>8</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rFonts w:hint="eastAsia"/>
                <w:sz w:val="30"/>
                <w:szCs w:val="30"/>
              </w:rPr>
              <w:t>叠螺式</w:t>
            </w:r>
            <w:r>
              <w:rPr>
                <w:rFonts w:hint="eastAsia"/>
                <w:sz w:val="30"/>
                <w:szCs w:val="30"/>
                <w:lang w:val="zh-CN"/>
              </w:rPr>
              <w:t>污泥</w:t>
            </w:r>
            <w:r>
              <w:rPr>
                <w:sz w:val="30"/>
                <w:szCs w:val="30"/>
                <w:lang w:val="zh-CN"/>
              </w:rPr>
              <w:t>脱水机</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rFonts w:hint="eastAsia"/>
                <w:sz w:val="30"/>
                <w:szCs w:val="30"/>
              </w:rPr>
              <w:t>江苏依绿</w:t>
            </w:r>
            <w:r>
              <w:rPr>
                <w:sz w:val="30"/>
                <w:szCs w:val="30"/>
                <w:lang w:val="zh-CN"/>
              </w:rPr>
              <w:t>、</w:t>
            </w:r>
            <w:r>
              <w:rPr>
                <w:rFonts w:hint="eastAsia"/>
                <w:sz w:val="30"/>
                <w:szCs w:val="30"/>
              </w:rPr>
              <w:t>山东杰鲁特</w:t>
            </w:r>
            <w:r>
              <w:rPr>
                <w:rFonts w:hint="eastAsia"/>
                <w:sz w:val="30"/>
                <w:szCs w:val="30"/>
                <w:lang w:val="zh-CN"/>
              </w:rPr>
              <w:t>、</w:t>
            </w:r>
            <w:r>
              <w:rPr>
                <w:rFonts w:hint="eastAsia"/>
                <w:sz w:val="30"/>
                <w:szCs w:val="30"/>
              </w:rPr>
              <w:t>江苏易长清</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　</w:t>
            </w:r>
          </w:p>
        </w:tc>
      </w:tr>
      <w:tr>
        <w:tblPrEx>
          <w:tblCellMar>
            <w:top w:w="0" w:type="dxa"/>
            <w:left w:w="108" w:type="dxa"/>
            <w:bottom w:w="0" w:type="dxa"/>
            <w:right w:w="108" w:type="dxa"/>
          </w:tblCellMar>
        </w:tblPrEx>
        <w:trPr>
          <w:trHeight w:val="442"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eastAsia" w:eastAsia="宋体"/>
                <w:sz w:val="30"/>
                <w:szCs w:val="30"/>
                <w:lang w:val="en-US" w:eastAsia="zh-CN"/>
              </w:rPr>
            </w:pPr>
            <w:r>
              <w:rPr>
                <w:rFonts w:hint="eastAsia"/>
                <w:sz w:val="30"/>
                <w:szCs w:val="30"/>
                <w:lang w:val="en-US" w:eastAsia="zh-CN"/>
              </w:rPr>
              <w:t>9</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rPr>
            </w:pPr>
            <w:r>
              <w:rPr>
                <w:rFonts w:hint="eastAsia"/>
                <w:sz w:val="30"/>
                <w:szCs w:val="30"/>
                <w:lang w:val="en-US" w:eastAsia="zh-CN"/>
              </w:rPr>
              <w:t>微</w:t>
            </w:r>
            <w:r>
              <w:rPr>
                <w:rFonts w:hint="eastAsia"/>
                <w:sz w:val="30"/>
                <w:szCs w:val="30"/>
              </w:rPr>
              <w:t>孔曝气管</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rPr>
            </w:pPr>
            <w:r>
              <w:rPr>
                <w:rFonts w:hint="eastAsia"/>
                <w:sz w:val="30"/>
                <w:szCs w:val="30"/>
              </w:rPr>
              <w:t>上海石化</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p>
        </w:tc>
      </w:tr>
      <w:tr>
        <w:tblPrEx>
          <w:tblCellMar>
            <w:top w:w="0" w:type="dxa"/>
            <w:left w:w="108" w:type="dxa"/>
            <w:bottom w:w="0" w:type="dxa"/>
            <w:right w:w="108" w:type="dxa"/>
          </w:tblCellMar>
        </w:tblPrEx>
        <w:trPr>
          <w:trHeight w:val="442"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eastAsia" w:eastAsia="宋体"/>
                <w:sz w:val="30"/>
                <w:szCs w:val="30"/>
                <w:lang w:val="en-US" w:eastAsia="zh-CN"/>
              </w:rPr>
            </w:pPr>
            <w:r>
              <w:rPr>
                <w:rFonts w:hint="eastAsia"/>
                <w:sz w:val="30"/>
                <w:szCs w:val="30"/>
              </w:rPr>
              <w:t>1</w:t>
            </w:r>
            <w:r>
              <w:rPr>
                <w:rFonts w:hint="eastAsia"/>
                <w:sz w:val="30"/>
                <w:szCs w:val="30"/>
                <w:lang w:val="en-US" w:eastAsia="zh-CN"/>
              </w:rPr>
              <w:t>0</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rPr>
            </w:pPr>
            <w:r>
              <w:rPr>
                <w:rFonts w:hint="eastAsia"/>
                <w:sz w:val="30"/>
                <w:szCs w:val="30"/>
              </w:rPr>
              <w:t>PVC管道及管件</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rPr>
            </w:pPr>
            <w:r>
              <w:rPr>
                <w:rFonts w:hint="eastAsia"/>
                <w:sz w:val="30"/>
                <w:szCs w:val="30"/>
              </w:rPr>
              <w:t>南亚、顾地、台亚</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p>
        </w:tc>
      </w:tr>
      <w:tr>
        <w:tblPrEx>
          <w:tblCellMar>
            <w:top w:w="0" w:type="dxa"/>
            <w:left w:w="108" w:type="dxa"/>
            <w:bottom w:w="0" w:type="dxa"/>
            <w:right w:w="108" w:type="dxa"/>
          </w:tblCellMar>
        </w:tblPrEx>
        <w:trPr>
          <w:trHeight w:val="442"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eastAsia" w:eastAsia="宋体"/>
                <w:sz w:val="30"/>
                <w:szCs w:val="30"/>
                <w:lang w:val="en-US" w:eastAsia="zh-CN"/>
              </w:rPr>
            </w:pPr>
            <w:r>
              <w:rPr>
                <w:rFonts w:hint="eastAsia"/>
                <w:sz w:val="30"/>
                <w:szCs w:val="30"/>
              </w:rPr>
              <w:t>1</w:t>
            </w:r>
            <w:r>
              <w:rPr>
                <w:rFonts w:hint="eastAsia"/>
                <w:sz w:val="30"/>
                <w:szCs w:val="30"/>
                <w:lang w:val="en-US" w:eastAsia="zh-CN"/>
              </w:rPr>
              <w:t>1</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rPr>
            </w:pPr>
            <w:r>
              <w:rPr>
                <w:rFonts w:hint="eastAsia"/>
                <w:sz w:val="30"/>
                <w:szCs w:val="30"/>
              </w:rPr>
              <w:t>钢管及管件</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rPr>
            </w:pPr>
            <w:r>
              <w:rPr>
                <w:rFonts w:hint="eastAsia"/>
                <w:sz w:val="30"/>
                <w:szCs w:val="30"/>
              </w:rPr>
              <w:t>日照、盛财、三钢</w:t>
            </w:r>
            <w:r>
              <w:rPr>
                <w:sz w:val="30"/>
                <w:szCs w:val="30"/>
                <w:lang w:val="zh-CN"/>
              </w:rPr>
              <w:t>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p>
        </w:tc>
      </w:tr>
      <w:tr>
        <w:tblPrEx>
          <w:tblCellMar>
            <w:top w:w="0" w:type="dxa"/>
            <w:left w:w="108" w:type="dxa"/>
            <w:bottom w:w="0" w:type="dxa"/>
            <w:right w:w="108" w:type="dxa"/>
          </w:tblCellMar>
        </w:tblPrEx>
        <w:trPr>
          <w:trHeight w:val="518" w:hRule="atLeast"/>
        </w:trPr>
        <w:tc>
          <w:tcPr>
            <w:tcW w:w="420" w:type="pct"/>
            <w:tcBorders>
              <w:top w:val="nil"/>
              <w:left w:val="single" w:color="auto" w:sz="4" w:space="0"/>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rFonts w:hint="eastAsia" w:eastAsia="宋体"/>
                <w:sz w:val="30"/>
                <w:szCs w:val="30"/>
                <w:lang w:val="en-US" w:eastAsia="zh-CN"/>
              </w:rPr>
            </w:pPr>
            <w:r>
              <w:rPr>
                <w:sz w:val="30"/>
                <w:szCs w:val="30"/>
                <w:lang w:val="zh-CN"/>
              </w:rPr>
              <w:t>1</w:t>
            </w:r>
            <w:r>
              <w:rPr>
                <w:rFonts w:hint="eastAsia"/>
                <w:sz w:val="30"/>
                <w:szCs w:val="30"/>
                <w:lang w:val="en-US" w:eastAsia="zh-CN"/>
              </w:rPr>
              <w:t>2</w:t>
            </w:r>
          </w:p>
        </w:tc>
        <w:tc>
          <w:tcPr>
            <w:tcW w:w="157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jc w:val="center"/>
              <w:rPr>
                <w:sz w:val="30"/>
                <w:szCs w:val="30"/>
                <w:lang w:val="zh-CN"/>
              </w:rPr>
            </w:pPr>
            <w:r>
              <w:rPr>
                <w:sz w:val="30"/>
                <w:szCs w:val="30"/>
                <w:lang w:val="zh-CN"/>
              </w:rPr>
              <w:t>电气元器件</w:t>
            </w:r>
          </w:p>
        </w:tc>
        <w:tc>
          <w:tcPr>
            <w:tcW w:w="2438"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施耐德、ABB和西门子或同档次品牌</w:t>
            </w:r>
          </w:p>
        </w:tc>
        <w:tc>
          <w:tcPr>
            <w:tcW w:w="563" w:type="pct"/>
            <w:tcBorders>
              <w:top w:val="nil"/>
              <w:left w:val="nil"/>
              <w:bottom w:val="single" w:color="auto" w:sz="4" w:space="0"/>
              <w:right w:val="single" w:color="auto" w:sz="4" w:space="0"/>
            </w:tcBorders>
            <w:shd w:val="clear" w:color="000000" w:fill="FFFFFF"/>
            <w:vAlign w:val="center"/>
          </w:tcPr>
          <w:p>
            <w:pPr>
              <w:tabs>
                <w:tab w:val="left" w:pos="3060"/>
                <w:tab w:val="left" w:pos="9180"/>
                <w:tab w:val="left" w:pos="9360"/>
              </w:tabs>
              <w:spacing w:line="500" w:lineRule="exact"/>
              <w:rPr>
                <w:sz w:val="30"/>
                <w:szCs w:val="30"/>
                <w:lang w:val="zh-CN"/>
              </w:rPr>
            </w:pPr>
            <w:r>
              <w:rPr>
                <w:sz w:val="30"/>
                <w:szCs w:val="30"/>
                <w:lang w:val="zh-CN"/>
              </w:rPr>
              <w:t>　</w:t>
            </w:r>
          </w:p>
        </w:tc>
      </w:tr>
    </w:tbl>
    <w:p>
      <w:pPr>
        <w:tabs>
          <w:tab w:val="left" w:pos="5550"/>
        </w:tabs>
        <w:adjustRightInd w:val="0"/>
        <w:snapToGrid w:val="0"/>
        <w:spacing w:line="480" w:lineRule="exact"/>
        <w:jc w:val="left"/>
        <w:rPr>
          <w:rFonts w:ascii="宋体" w:hAnsi="宋体"/>
          <w:b/>
          <w:sz w:val="28"/>
          <w:szCs w:val="28"/>
        </w:rPr>
      </w:pPr>
    </w:p>
    <w:p>
      <w:pPr>
        <w:pStyle w:val="4"/>
        <w:bidi w:val="0"/>
        <w:rPr>
          <w:rFonts w:ascii="宋体" w:hAnsi="宋体"/>
          <w:b/>
          <w:sz w:val="28"/>
          <w:szCs w:val="28"/>
        </w:rPr>
      </w:pPr>
      <w:r>
        <w:rPr>
          <w:rFonts w:hint="eastAsia" w:ascii="宋体" w:hAnsi="宋体"/>
          <w:b/>
          <w:sz w:val="28"/>
          <w:szCs w:val="28"/>
        </w:rPr>
        <w:t>6.违约责任：</w:t>
      </w:r>
      <w:r>
        <w:rPr>
          <w:rFonts w:hint="eastAsia" w:ascii="宋体" w:hAnsi="宋体"/>
          <w:b w:val="0"/>
          <w:bCs/>
          <w:sz w:val="28"/>
          <w:szCs w:val="28"/>
          <w:lang w:eastAsia="zh-CN"/>
        </w:rPr>
        <w:t>中标人</w:t>
      </w:r>
      <w:r>
        <w:rPr>
          <w:rFonts w:hint="eastAsia" w:ascii="宋体" w:hAnsi="宋体"/>
          <w:b w:val="0"/>
          <w:bCs/>
          <w:sz w:val="28"/>
          <w:szCs w:val="28"/>
        </w:rPr>
        <w:t>交货的设备</w:t>
      </w:r>
      <w:r>
        <w:rPr>
          <w:rFonts w:ascii="宋体" w:hAnsi="宋体"/>
          <w:b w:val="0"/>
          <w:bCs/>
          <w:sz w:val="28"/>
          <w:szCs w:val="28"/>
        </w:rPr>
        <w:t>不符合</w:t>
      </w:r>
      <w:r>
        <w:rPr>
          <w:rFonts w:hint="eastAsia" w:ascii="宋体" w:hAnsi="宋体"/>
          <w:b w:val="0"/>
          <w:bCs/>
          <w:sz w:val="28"/>
          <w:szCs w:val="28"/>
        </w:rPr>
        <w:t>上述主要技术、质量要求，在不影响</w:t>
      </w:r>
      <w:r>
        <w:rPr>
          <w:rFonts w:hint="eastAsia" w:ascii="宋体" w:hAnsi="宋体"/>
          <w:b w:val="0"/>
          <w:bCs/>
          <w:sz w:val="28"/>
          <w:szCs w:val="28"/>
          <w:lang w:eastAsia="zh-CN"/>
        </w:rPr>
        <w:t>招标人</w:t>
      </w:r>
      <w:r>
        <w:rPr>
          <w:rFonts w:hint="eastAsia" w:ascii="宋体" w:hAnsi="宋体"/>
          <w:b w:val="0"/>
          <w:bCs/>
          <w:sz w:val="28"/>
          <w:szCs w:val="28"/>
        </w:rPr>
        <w:t>生产经营的情况下负责返工至</w:t>
      </w:r>
      <w:r>
        <w:rPr>
          <w:rFonts w:ascii="宋体" w:hAnsi="宋体"/>
          <w:b w:val="0"/>
          <w:bCs/>
          <w:sz w:val="28"/>
          <w:szCs w:val="28"/>
        </w:rPr>
        <w:t>达到要求</w:t>
      </w:r>
      <w:r>
        <w:rPr>
          <w:rFonts w:hint="eastAsia" w:ascii="宋体" w:hAnsi="宋体"/>
          <w:b w:val="0"/>
          <w:bCs/>
          <w:sz w:val="28"/>
          <w:szCs w:val="28"/>
        </w:rPr>
        <w:t>，并承担所产生的运输</w:t>
      </w:r>
      <w:r>
        <w:rPr>
          <w:rFonts w:ascii="宋体" w:hAnsi="宋体"/>
          <w:b w:val="0"/>
          <w:bCs/>
          <w:sz w:val="28"/>
          <w:szCs w:val="28"/>
        </w:rPr>
        <w:t>、配件、人工等</w:t>
      </w:r>
      <w:r>
        <w:rPr>
          <w:rFonts w:hint="eastAsia" w:ascii="宋体" w:hAnsi="宋体"/>
          <w:b w:val="0"/>
          <w:bCs/>
          <w:sz w:val="28"/>
          <w:szCs w:val="28"/>
        </w:rPr>
        <w:t>所有费用。若影响到</w:t>
      </w:r>
      <w:r>
        <w:rPr>
          <w:rFonts w:hint="eastAsia" w:ascii="宋体" w:hAnsi="宋体"/>
          <w:b w:val="0"/>
          <w:bCs/>
          <w:sz w:val="28"/>
          <w:szCs w:val="28"/>
          <w:lang w:eastAsia="zh-CN"/>
        </w:rPr>
        <w:t>招标人</w:t>
      </w:r>
      <w:r>
        <w:rPr>
          <w:rFonts w:hint="eastAsia" w:ascii="宋体" w:hAnsi="宋体"/>
          <w:b w:val="0"/>
          <w:bCs/>
          <w:sz w:val="28"/>
          <w:szCs w:val="28"/>
        </w:rPr>
        <w:t>的生产经营，</w:t>
      </w:r>
      <w:r>
        <w:rPr>
          <w:rFonts w:hint="eastAsia" w:ascii="宋体" w:hAnsi="宋体"/>
          <w:b w:val="0"/>
          <w:bCs/>
          <w:sz w:val="28"/>
          <w:szCs w:val="28"/>
          <w:lang w:eastAsia="zh-CN"/>
        </w:rPr>
        <w:t>招标人</w:t>
      </w:r>
      <w:r>
        <w:rPr>
          <w:rFonts w:hint="eastAsia" w:ascii="宋体" w:hAnsi="宋体"/>
          <w:b w:val="0"/>
          <w:bCs/>
          <w:sz w:val="28"/>
          <w:szCs w:val="28"/>
        </w:rPr>
        <w:t>有权终止合同并可就遭受的损失向</w:t>
      </w:r>
      <w:r>
        <w:rPr>
          <w:rFonts w:hint="eastAsia" w:ascii="宋体" w:hAnsi="宋体"/>
          <w:b w:val="0"/>
          <w:bCs/>
          <w:sz w:val="28"/>
          <w:szCs w:val="28"/>
          <w:lang w:eastAsia="zh-CN"/>
        </w:rPr>
        <w:t>中标人</w:t>
      </w:r>
      <w:r>
        <w:rPr>
          <w:rFonts w:hint="eastAsia" w:ascii="宋体" w:hAnsi="宋体"/>
          <w:b w:val="0"/>
          <w:bCs/>
          <w:sz w:val="28"/>
          <w:szCs w:val="28"/>
        </w:rPr>
        <w:t>索赔。</w:t>
      </w:r>
    </w:p>
    <w:p>
      <w:pPr>
        <w:tabs>
          <w:tab w:val="left" w:pos="5550"/>
        </w:tabs>
        <w:adjustRightInd w:val="0"/>
        <w:snapToGrid w:val="0"/>
        <w:spacing w:line="480" w:lineRule="exact"/>
        <w:jc w:val="left"/>
        <w:rPr>
          <w:rFonts w:ascii="宋体" w:hAnsi="宋体"/>
          <w:b/>
          <w:sz w:val="28"/>
          <w:szCs w:val="28"/>
        </w:rPr>
      </w:pPr>
      <w:r>
        <w:rPr>
          <w:rStyle w:val="18"/>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jc w:val="left"/>
        <w:rPr>
          <w:rFonts w:ascii="宋体" w:hAnsi="宋体"/>
          <w:sz w:val="28"/>
          <w:szCs w:val="28"/>
        </w:rPr>
      </w:pPr>
      <w:r>
        <w:rPr>
          <w:rFonts w:hint="eastAsia" w:ascii="宋体" w:hAnsi="宋体"/>
          <w:sz w:val="28"/>
          <w:szCs w:val="28"/>
        </w:rPr>
        <w:t xml:space="preserve">    8.1报价为含税价，要求开具</w:t>
      </w:r>
      <w:r>
        <w:rPr>
          <w:rFonts w:hint="eastAsia" w:ascii="宋体" w:hAnsi="宋体"/>
          <w:sz w:val="28"/>
          <w:szCs w:val="28"/>
          <w:lang w:val="en-US" w:eastAsia="zh-CN"/>
        </w:rPr>
        <w:t>9%工程</w:t>
      </w:r>
      <w:r>
        <w:rPr>
          <w:rFonts w:hint="eastAsia" w:ascii="宋体" w:hAnsi="宋体"/>
          <w:sz w:val="28"/>
          <w:szCs w:val="28"/>
        </w:rPr>
        <w:t>增值税专用发票结算。</w:t>
      </w:r>
    </w:p>
    <w:p>
      <w:pPr>
        <w:adjustRightInd w:val="0"/>
        <w:snapToGrid w:val="0"/>
        <w:spacing w:line="480" w:lineRule="exact"/>
        <w:jc w:val="left"/>
        <w:rPr>
          <w:rFonts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ascii="宋体" w:hAnsi="宋体"/>
          <w:color w:val="auto"/>
          <w:sz w:val="28"/>
          <w:szCs w:val="28"/>
        </w:rPr>
      </w:pPr>
      <w:r>
        <w:rPr>
          <w:rFonts w:hint="eastAsia" w:ascii="宋体" w:hAnsi="宋体"/>
          <w:color w:val="auto"/>
          <w:sz w:val="28"/>
          <w:szCs w:val="28"/>
        </w:rPr>
        <w:t>9.1本次招标采用</w:t>
      </w:r>
      <w:r>
        <w:rPr>
          <w:rFonts w:hint="eastAsia" w:ascii="宋体" w:hAnsi="宋体"/>
          <w:color w:val="auto"/>
          <w:sz w:val="28"/>
          <w:szCs w:val="28"/>
          <w:lang w:val="en-US" w:eastAsia="zh-CN"/>
        </w:rPr>
        <w:t>低价中标方法</w:t>
      </w:r>
      <w:r>
        <w:rPr>
          <w:rFonts w:hint="eastAsia" w:ascii="宋体" w:hAnsi="宋体"/>
          <w:color w:val="auto"/>
          <w:sz w:val="28"/>
          <w:szCs w:val="28"/>
          <w:lang w:eastAsia="zh-CN"/>
        </w:rPr>
        <w:t>确定</w:t>
      </w:r>
      <w:r>
        <w:rPr>
          <w:rFonts w:hint="eastAsia" w:ascii="宋体" w:hAnsi="宋体"/>
          <w:color w:val="auto"/>
          <w:sz w:val="28"/>
          <w:szCs w:val="28"/>
          <w:lang w:val="en-US" w:eastAsia="zh-CN"/>
        </w:rPr>
        <w:t>中标候选</w:t>
      </w:r>
      <w:r>
        <w:rPr>
          <w:rFonts w:hint="eastAsia" w:ascii="宋体" w:hAnsi="宋体"/>
          <w:bCs/>
          <w:color w:val="auto"/>
          <w:sz w:val="28"/>
          <w:szCs w:val="28"/>
          <w:lang w:eastAsia="zh-CN"/>
        </w:rPr>
        <w:t>人</w:t>
      </w:r>
      <w:r>
        <w:rPr>
          <w:rFonts w:hint="eastAsia" w:ascii="宋体" w:hAnsi="宋体"/>
          <w:color w:val="auto"/>
          <w:sz w:val="28"/>
          <w:szCs w:val="28"/>
        </w:rPr>
        <w:t>。</w:t>
      </w:r>
    </w:p>
    <w:p>
      <w:pPr>
        <w:ind w:firstLine="560" w:firstLineChars="200"/>
        <w:rPr>
          <w:rFonts w:hint="eastAsia" w:ascii="宋体" w:hAnsi="宋体" w:eastAsia="宋体" w:cs="宋体"/>
          <w:sz w:val="30"/>
          <w:szCs w:val="30"/>
        </w:rPr>
      </w:pPr>
      <w:r>
        <w:rPr>
          <w:rFonts w:hint="eastAsia" w:ascii="宋体" w:hAnsi="宋体"/>
          <w:sz w:val="28"/>
          <w:szCs w:val="28"/>
        </w:rPr>
        <w:t>9.</w:t>
      </w:r>
      <w:r>
        <w:rPr>
          <w:rFonts w:hint="eastAsia" w:ascii="宋体" w:hAnsi="宋体" w:eastAsia="宋体" w:cs="宋体"/>
          <w:sz w:val="30"/>
          <w:szCs w:val="30"/>
        </w:rPr>
        <w:t>2</w:t>
      </w:r>
      <w:r>
        <w:rPr>
          <w:rFonts w:hint="eastAsia" w:ascii="宋体" w:hAnsi="宋体" w:cs="宋体"/>
          <w:sz w:val="30"/>
          <w:szCs w:val="30"/>
          <w:lang w:val="en-US" w:eastAsia="zh-CN"/>
        </w:rPr>
        <w:t>本</w:t>
      </w:r>
      <w:r>
        <w:rPr>
          <w:rFonts w:hint="eastAsia" w:ascii="宋体" w:hAnsi="宋体" w:eastAsia="宋体" w:cs="宋体"/>
          <w:sz w:val="30"/>
          <w:szCs w:val="30"/>
        </w:rPr>
        <w:t>次招标确定中标候选</w:t>
      </w:r>
      <w:r>
        <w:rPr>
          <w:rFonts w:hint="eastAsia" w:ascii="宋体" w:hAnsi="宋体" w:cs="宋体"/>
          <w:sz w:val="30"/>
          <w:szCs w:val="30"/>
          <w:lang w:eastAsia="zh-CN"/>
        </w:rPr>
        <w:t>人</w:t>
      </w:r>
      <w:r>
        <w:rPr>
          <w:rFonts w:hint="eastAsia" w:ascii="宋体" w:hAnsi="宋体" w:eastAsia="宋体" w:cs="宋体"/>
          <w:sz w:val="30"/>
          <w:szCs w:val="30"/>
        </w:rPr>
        <w:t>后，在</w:t>
      </w:r>
      <w:r>
        <w:rPr>
          <w:rFonts w:hint="eastAsia" w:ascii="宋体" w:hAnsi="宋体" w:eastAsia="宋体" w:cs="宋体"/>
          <w:sz w:val="30"/>
          <w:szCs w:val="30"/>
          <w:lang w:eastAsia="zh-CN"/>
        </w:rPr>
        <w:t>公开发布的</w:t>
      </w:r>
      <w:r>
        <w:rPr>
          <w:rFonts w:hint="eastAsia" w:ascii="宋体" w:hAnsi="宋体" w:eastAsia="宋体" w:cs="宋体"/>
          <w:sz w:val="30"/>
          <w:szCs w:val="30"/>
        </w:rPr>
        <w:t>网站公示3天，无异议后转为</w:t>
      </w:r>
      <w:r>
        <w:rPr>
          <w:rFonts w:hint="eastAsia" w:ascii="宋体" w:hAnsi="宋体" w:eastAsia="宋体" w:cs="宋体"/>
          <w:sz w:val="30"/>
          <w:szCs w:val="30"/>
          <w:lang w:eastAsia="zh-CN"/>
        </w:rPr>
        <w:t>中标人</w:t>
      </w:r>
      <w:r>
        <w:rPr>
          <w:rFonts w:hint="eastAsia" w:ascii="宋体" w:hAnsi="宋体" w:eastAsia="宋体" w:cs="宋体"/>
          <w:sz w:val="30"/>
          <w:szCs w:val="30"/>
        </w:rPr>
        <w:t>。</w:t>
      </w:r>
    </w:p>
    <w:p>
      <w:pPr>
        <w:ind w:firstLine="600" w:firstLineChars="200"/>
        <w:rPr>
          <w:rFonts w:ascii="宋体" w:hAnsi="宋体"/>
          <w:strike/>
          <w:color w:val="FF0000"/>
          <w:sz w:val="28"/>
          <w:szCs w:val="28"/>
        </w:rPr>
      </w:pPr>
      <w:r>
        <w:rPr>
          <w:rFonts w:hint="eastAsia" w:ascii="宋体" w:hAnsi="宋体" w:eastAsia="宋体" w:cs="宋体"/>
          <w:sz w:val="30"/>
          <w:szCs w:val="30"/>
        </w:rPr>
        <w:t>9.3定标后在</w:t>
      </w:r>
      <w:r>
        <w:rPr>
          <w:rFonts w:hint="eastAsia" w:ascii="宋体" w:hAnsi="宋体"/>
          <w:sz w:val="28"/>
          <w:szCs w:val="28"/>
        </w:rPr>
        <w:t>5天内向</w:t>
      </w:r>
      <w:r>
        <w:rPr>
          <w:rFonts w:hint="eastAsia" w:ascii="宋体" w:hAnsi="宋体"/>
          <w:sz w:val="28"/>
          <w:szCs w:val="28"/>
          <w:lang w:eastAsia="zh-CN"/>
        </w:rPr>
        <w:t>中标人</w:t>
      </w:r>
      <w:r>
        <w:rPr>
          <w:rFonts w:hint="eastAsia" w:ascii="宋体" w:hAnsi="宋体"/>
          <w:sz w:val="28"/>
          <w:szCs w:val="28"/>
        </w:rPr>
        <w:t>发出《中标通知书》，</w:t>
      </w:r>
      <w:r>
        <w:rPr>
          <w:rFonts w:hint="eastAsia" w:ascii="宋体" w:hAnsi="宋体"/>
          <w:sz w:val="28"/>
          <w:szCs w:val="28"/>
          <w:lang w:eastAsia="zh-CN"/>
        </w:rPr>
        <w:t>中标人</w:t>
      </w:r>
      <w:r>
        <w:rPr>
          <w:rFonts w:hint="eastAsia" w:ascii="宋体" w:hAnsi="宋体"/>
          <w:sz w:val="28"/>
          <w:szCs w:val="28"/>
        </w:rPr>
        <w:t>收到中标通知书后，应在5天内签订相关合同。</w:t>
      </w:r>
    </w:p>
    <w:p>
      <w:pPr>
        <w:numPr>
          <w:ilvl w:val="0"/>
          <w:numId w:val="2"/>
        </w:numPr>
        <w:adjustRightInd w:val="0"/>
        <w:snapToGrid w:val="0"/>
        <w:spacing w:line="480" w:lineRule="exact"/>
        <w:jc w:val="left"/>
        <w:rPr>
          <w:rFonts w:ascii="宋体" w:hAnsi="宋体"/>
          <w:b/>
          <w:sz w:val="28"/>
          <w:szCs w:val="28"/>
        </w:rPr>
      </w:pPr>
      <w:r>
        <w:rPr>
          <w:rFonts w:hint="eastAsia" w:ascii="宋体" w:hAnsi="宋体"/>
          <w:b/>
          <w:sz w:val="28"/>
          <w:szCs w:val="28"/>
          <w:lang w:eastAsia="zh-CN"/>
        </w:rPr>
        <w:t>投标人</w:t>
      </w:r>
      <w:r>
        <w:rPr>
          <w:rFonts w:hint="eastAsia" w:ascii="宋体" w:hAnsi="宋体"/>
          <w:b/>
          <w:sz w:val="28"/>
          <w:szCs w:val="28"/>
        </w:rPr>
        <w:t>资格要求：</w:t>
      </w:r>
    </w:p>
    <w:p>
      <w:pPr>
        <w:spacing w:after="78" w:afterLines="25" w:line="336" w:lineRule="auto"/>
        <w:ind w:firstLine="480"/>
        <w:rPr>
          <w:rFonts w:ascii="宋体" w:hAnsi="宋体"/>
          <w:sz w:val="30"/>
          <w:szCs w:val="30"/>
        </w:rPr>
      </w:pPr>
      <w:r>
        <w:rPr>
          <w:rFonts w:hint="eastAsia" w:ascii="宋体" w:hAnsi="宋体"/>
          <w:sz w:val="30"/>
          <w:szCs w:val="30"/>
        </w:rPr>
        <w:t>10.1</w:t>
      </w:r>
      <w:r>
        <w:rPr>
          <w:rFonts w:hint="eastAsia" w:ascii="宋体" w:hAnsi="宋体"/>
          <w:sz w:val="30"/>
          <w:szCs w:val="30"/>
          <w:lang w:eastAsia="zh-CN"/>
        </w:rPr>
        <w:t>投标人</w:t>
      </w:r>
      <w:r>
        <w:rPr>
          <w:rFonts w:hint="eastAsia" w:ascii="宋体" w:hAnsi="宋体"/>
          <w:sz w:val="30"/>
          <w:szCs w:val="30"/>
        </w:rPr>
        <w:t>应是具备独立法人资格，且有能力承接招标内容的国内企业（</w:t>
      </w:r>
      <w:r>
        <w:rPr>
          <w:rFonts w:hint="eastAsia" w:ascii="宋体" w:hAnsi="宋体"/>
          <w:sz w:val="30"/>
          <w:szCs w:val="30"/>
          <w:lang w:eastAsia="zh-CN"/>
        </w:rPr>
        <w:t>投标人</w:t>
      </w:r>
      <w:r>
        <w:rPr>
          <w:rFonts w:hint="eastAsia" w:ascii="宋体" w:hAnsi="宋体"/>
          <w:sz w:val="30"/>
          <w:szCs w:val="30"/>
        </w:rPr>
        <w:t>应在投标文件中提供企业法人营业执照复印件，并加盖</w:t>
      </w:r>
      <w:r>
        <w:rPr>
          <w:rFonts w:hint="eastAsia" w:ascii="宋体" w:hAnsi="宋体"/>
          <w:sz w:val="30"/>
          <w:szCs w:val="30"/>
          <w:lang w:eastAsia="zh-CN"/>
        </w:rPr>
        <w:t>投标人</w:t>
      </w:r>
      <w:r>
        <w:rPr>
          <w:rFonts w:hint="eastAsia" w:ascii="宋体" w:hAnsi="宋体"/>
          <w:sz w:val="30"/>
          <w:szCs w:val="30"/>
        </w:rPr>
        <w:t>单位公章）。</w:t>
      </w:r>
    </w:p>
    <w:p>
      <w:pPr>
        <w:spacing w:after="78" w:afterLines="25" w:line="336" w:lineRule="auto"/>
        <w:ind w:firstLine="480"/>
        <w:rPr>
          <w:sz w:val="30"/>
          <w:szCs w:val="30"/>
        </w:rPr>
      </w:pPr>
      <w:r>
        <w:rPr>
          <w:rFonts w:hint="eastAsia" w:ascii="宋体" w:hAnsi="宋体"/>
          <w:sz w:val="30"/>
          <w:szCs w:val="30"/>
        </w:rPr>
        <w:t>10.2</w:t>
      </w:r>
      <w:r>
        <w:rPr>
          <w:rFonts w:hint="eastAsia"/>
          <w:sz w:val="30"/>
          <w:szCs w:val="30"/>
        </w:rPr>
        <w:t xml:space="preserve"> 本次招标要求</w:t>
      </w:r>
      <w:r>
        <w:rPr>
          <w:rFonts w:hint="eastAsia"/>
          <w:sz w:val="30"/>
          <w:szCs w:val="30"/>
          <w:lang w:eastAsia="zh-CN"/>
        </w:rPr>
        <w:t>投标人</w:t>
      </w:r>
      <w:r>
        <w:rPr>
          <w:rFonts w:hint="eastAsia"/>
          <w:sz w:val="30"/>
          <w:szCs w:val="30"/>
        </w:rPr>
        <w:t>须</w:t>
      </w:r>
      <w:r>
        <w:rPr>
          <w:sz w:val="30"/>
          <w:szCs w:val="30"/>
        </w:rPr>
        <w:t>具备</w:t>
      </w:r>
      <w:r>
        <w:rPr>
          <w:rFonts w:hint="eastAsia"/>
          <w:sz w:val="30"/>
          <w:szCs w:val="30"/>
        </w:rPr>
        <w:t>以下资质条件：</w:t>
      </w:r>
    </w:p>
    <w:p>
      <w:pPr>
        <w:spacing w:after="78" w:afterLines="25" w:line="336" w:lineRule="auto"/>
        <w:ind w:firstLine="480"/>
        <w:rPr>
          <w:rFonts w:ascii="宋体" w:hAnsi="宋体" w:cs="宋体"/>
          <w:kern w:val="0"/>
          <w:sz w:val="30"/>
          <w:szCs w:val="30"/>
          <w:u w:val="single"/>
        </w:rPr>
      </w:pPr>
      <w:r>
        <w:rPr>
          <w:rFonts w:hint="eastAsia" w:ascii="宋体" w:hAnsi="宋体" w:cs="宋体"/>
          <w:kern w:val="0"/>
          <w:sz w:val="30"/>
          <w:szCs w:val="30"/>
          <w:u w:val="single"/>
        </w:rPr>
        <w:t>1、省级及以上工业废水专项设备施工资格。</w:t>
      </w:r>
    </w:p>
    <w:p>
      <w:pPr>
        <w:spacing w:after="78" w:afterLines="25" w:line="336" w:lineRule="auto"/>
        <w:ind w:firstLine="480"/>
        <w:rPr>
          <w:rFonts w:ascii="宋体" w:hAnsi="宋体" w:cs="宋体"/>
          <w:kern w:val="0"/>
          <w:sz w:val="30"/>
          <w:szCs w:val="30"/>
          <w:u w:val="single"/>
        </w:rPr>
      </w:pPr>
      <w:r>
        <w:rPr>
          <w:rFonts w:hint="eastAsia" w:ascii="宋体" w:hAnsi="宋体" w:cs="宋体"/>
          <w:kern w:val="0"/>
          <w:sz w:val="30"/>
          <w:szCs w:val="30"/>
          <w:u w:val="single"/>
        </w:rPr>
        <w:t>2、技术负责人具备中级工程师及以上职称，并提供职称证书复印件(盖公章。</w:t>
      </w:r>
    </w:p>
    <w:p>
      <w:pPr>
        <w:spacing w:after="78" w:afterLines="25" w:line="336" w:lineRule="auto"/>
        <w:ind w:firstLine="480"/>
        <w:rPr>
          <w:rFonts w:ascii="宋体" w:hAnsi="宋体" w:cs="宋体"/>
          <w:kern w:val="0"/>
          <w:sz w:val="30"/>
          <w:szCs w:val="30"/>
          <w:u w:val="single"/>
        </w:rPr>
      </w:pPr>
      <w:r>
        <w:rPr>
          <w:rFonts w:hint="eastAsia" w:ascii="宋体" w:hAnsi="宋体" w:cs="宋体"/>
          <w:kern w:val="0"/>
          <w:sz w:val="30"/>
          <w:szCs w:val="30"/>
          <w:u w:val="single"/>
        </w:rPr>
        <w:t>3、</w:t>
      </w:r>
      <w:r>
        <w:rPr>
          <w:rFonts w:hint="eastAsia" w:ascii="宋体" w:hAnsi="宋体" w:cs="宋体"/>
          <w:kern w:val="0"/>
          <w:sz w:val="30"/>
          <w:szCs w:val="30"/>
          <w:u w:val="single"/>
          <w:lang w:eastAsia="zh-CN"/>
        </w:rPr>
        <w:t>投标人</w:t>
      </w:r>
      <w:r>
        <w:rPr>
          <w:rFonts w:hint="eastAsia" w:ascii="宋体" w:hAnsi="宋体" w:cs="宋体"/>
          <w:kern w:val="0"/>
          <w:sz w:val="30"/>
          <w:szCs w:val="30"/>
          <w:u w:val="single"/>
        </w:rPr>
        <w:t>最好有中药制药厂污水处理工程案例。</w:t>
      </w:r>
    </w:p>
    <w:p>
      <w:pPr>
        <w:rPr>
          <w:rFonts w:hint="eastAsia" w:ascii="宋体" w:hAnsi="宋体" w:eastAsia="宋体" w:cs="宋体"/>
          <w:sz w:val="30"/>
          <w:szCs w:val="30"/>
        </w:rPr>
      </w:pPr>
      <w:r>
        <w:rPr>
          <w:rFonts w:hint="eastAsia" w:ascii="宋体" w:hAnsi="宋体" w:eastAsia="宋体" w:cs="宋体"/>
          <w:sz w:val="30"/>
          <w:szCs w:val="30"/>
        </w:rPr>
        <w:t xml:space="preserve">10.3 </w:t>
      </w:r>
      <w:r>
        <w:rPr>
          <w:rFonts w:hint="eastAsia" w:ascii="宋体" w:hAnsi="宋体" w:eastAsia="宋体" w:cs="宋体"/>
          <w:sz w:val="30"/>
          <w:szCs w:val="30"/>
          <w:lang w:eastAsia="zh-CN"/>
        </w:rPr>
        <w:t>投标人</w:t>
      </w:r>
      <w:r>
        <w:rPr>
          <w:rFonts w:hint="eastAsia" w:ascii="宋体" w:hAnsi="宋体" w:eastAsia="宋体" w:cs="宋体"/>
          <w:sz w:val="30"/>
          <w:szCs w:val="30"/>
        </w:rPr>
        <w:t>具有良好的银行资信和企业信誉，没有处于被责令停业、财产被接管、冻结、破产或其他关、停、并、转状态；在最近三年没有经济方面的违法行为。提供本项承诺书并加盖</w:t>
      </w:r>
      <w:r>
        <w:rPr>
          <w:rFonts w:hint="eastAsia" w:ascii="宋体" w:hAnsi="宋体" w:eastAsia="宋体" w:cs="宋体"/>
          <w:sz w:val="30"/>
          <w:szCs w:val="30"/>
          <w:lang w:eastAsia="zh-CN"/>
        </w:rPr>
        <w:t>投标人</w:t>
      </w:r>
      <w:r>
        <w:rPr>
          <w:rFonts w:hint="eastAsia" w:ascii="宋体" w:hAnsi="宋体" w:eastAsia="宋体" w:cs="宋体"/>
          <w:sz w:val="30"/>
          <w:szCs w:val="30"/>
        </w:rPr>
        <w:t>单位公章。</w:t>
      </w:r>
    </w:p>
    <w:p>
      <w:pPr>
        <w:spacing w:after="78" w:afterLines="25" w:line="336" w:lineRule="auto"/>
        <w:ind w:firstLine="480"/>
        <w:rPr>
          <w:rFonts w:ascii="宋体" w:hAnsi="宋体"/>
          <w:sz w:val="30"/>
          <w:szCs w:val="30"/>
        </w:rPr>
      </w:pPr>
      <w:r>
        <w:rPr>
          <w:rFonts w:hint="eastAsia" w:ascii="宋体" w:hAnsi="宋体"/>
          <w:sz w:val="30"/>
          <w:szCs w:val="30"/>
        </w:rPr>
        <w:t>10.4 本项目</w:t>
      </w:r>
      <w:r>
        <w:rPr>
          <w:rFonts w:hint="eastAsia" w:ascii="宋体" w:hAnsi="宋体"/>
          <w:sz w:val="30"/>
          <w:szCs w:val="30"/>
          <w:u w:val="single"/>
        </w:rPr>
        <w:t xml:space="preserve"> </w:t>
      </w:r>
      <w:r>
        <w:rPr>
          <w:rFonts w:hint="eastAsia" w:ascii="宋体" w:hAnsi="宋体"/>
          <w:b/>
          <w:bCs/>
          <w:sz w:val="30"/>
          <w:szCs w:val="30"/>
          <w:u w:val="single"/>
        </w:rPr>
        <w:t xml:space="preserve">不接受 </w:t>
      </w:r>
      <w:r>
        <w:rPr>
          <w:rFonts w:hint="eastAsia" w:ascii="宋体" w:hAnsi="宋体"/>
          <w:sz w:val="30"/>
          <w:szCs w:val="30"/>
        </w:rPr>
        <w:t>联合体形式的投标。</w:t>
      </w:r>
    </w:p>
    <w:p>
      <w:pPr>
        <w:adjustRightInd w:val="0"/>
        <w:snapToGrid w:val="0"/>
        <w:spacing w:line="480" w:lineRule="exact"/>
        <w:jc w:val="left"/>
        <w:rPr>
          <w:rFonts w:ascii="宋体" w:hAnsi="宋体"/>
          <w:b/>
          <w:sz w:val="28"/>
          <w:szCs w:val="28"/>
        </w:rPr>
      </w:pPr>
      <w:r>
        <w:rPr>
          <w:rFonts w:hint="eastAsia" w:ascii="宋体" w:hAnsi="宋体"/>
          <w:b/>
          <w:sz w:val="28"/>
          <w:szCs w:val="28"/>
        </w:rPr>
        <w:t>11.开标时间、地点及参与方式</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11.1开标时间及地点：</w:t>
      </w:r>
      <w:r>
        <w:rPr>
          <w:rFonts w:hint="eastAsia" w:ascii="宋体" w:hAnsi="宋体" w:eastAsia="宋体" w:cs="宋体"/>
          <w:sz w:val="30"/>
          <w:szCs w:val="30"/>
          <w:lang w:eastAsia="zh-CN"/>
        </w:rPr>
        <w:t>招标人将于</w:t>
      </w:r>
      <w:r>
        <w:rPr>
          <w:rFonts w:hint="eastAsia" w:ascii="宋体" w:hAnsi="宋体" w:eastAsia="宋体" w:cs="宋体"/>
          <w:sz w:val="30"/>
          <w:szCs w:val="30"/>
        </w:rPr>
        <w:t>2020</w:t>
      </w:r>
      <w:r>
        <w:rPr>
          <w:rFonts w:hint="eastAsia" w:ascii="宋体" w:hAnsi="宋体" w:eastAsia="宋体" w:cs="宋体"/>
          <w:sz w:val="30"/>
          <w:szCs w:val="30"/>
          <w:lang w:val="en-US" w:eastAsia="zh-CN"/>
        </w:rPr>
        <w:t>年8</w:t>
      </w:r>
      <w:r>
        <w:rPr>
          <w:rFonts w:hint="eastAsia" w:ascii="宋体" w:hAnsi="宋体" w:eastAsia="宋体" w:cs="宋体"/>
          <w:sz w:val="30"/>
          <w:szCs w:val="30"/>
        </w:rPr>
        <w:t>月</w:t>
      </w:r>
      <w:r>
        <w:rPr>
          <w:rFonts w:hint="eastAsia" w:ascii="宋体" w:hAnsi="宋体" w:eastAsia="宋体" w:cs="宋体"/>
          <w:sz w:val="30"/>
          <w:szCs w:val="30"/>
          <w:lang w:val="en-US" w:eastAsia="zh-CN"/>
        </w:rPr>
        <w:t>3</w:t>
      </w:r>
      <w:r>
        <w:rPr>
          <w:rFonts w:hint="eastAsia" w:ascii="宋体" w:hAnsi="宋体" w:eastAsia="宋体" w:cs="宋体"/>
          <w:sz w:val="30"/>
          <w:szCs w:val="30"/>
        </w:rPr>
        <w:t xml:space="preserve"> 日</w:t>
      </w:r>
      <w:r>
        <w:rPr>
          <w:rFonts w:hint="eastAsia" w:ascii="宋体" w:hAnsi="宋体" w:eastAsia="宋体" w:cs="宋体"/>
          <w:sz w:val="30"/>
          <w:szCs w:val="30"/>
          <w:lang w:val="en-US" w:eastAsia="zh-CN"/>
        </w:rPr>
        <w:t>下午15：00</w:t>
      </w:r>
      <w:r>
        <w:rPr>
          <w:rFonts w:hint="eastAsia" w:ascii="宋体" w:hAnsi="宋体" w:eastAsia="宋体" w:cs="宋体"/>
          <w:sz w:val="30"/>
          <w:szCs w:val="30"/>
        </w:rPr>
        <w:t xml:space="preserve"> 时</w:t>
      </w:r>
      <w:r>
        <w:rPr>
          <w:rFonts w:hint="eastAsia" w:ascii="宋体" w:hAnsi="宋体" w:eastAsia="宋体" w:cs="宋体"/>
          <w:sz w:val="30"/>
          <w:szCs w:val="30"/>
          <w:lang w:eastAsia="zh-CN"/>
        </w:rPr>
        <w:t>在招标人的办公场所自行</w:t>
      </w:r>
      <w:r>
        <w:rPr>
          <w:rFonts w:hint="eastAsia" w:ascii="宋体" w:hAnsi="宋体" w:eastAsia="宋体" w:cs="宋体"/>
          <w:sz w:val="30"/>
          <w:szCs w:val="30"/>
          <w:lang w:val="en-US" w:eastAsia="zh-CN"/>
        </w:rPr>
        <w:t>开标</w:t>
      </w:r>
      <w:r>
        <w:rPr>
          <w:rFonts w:hint="eastAsia" w:ascii="宋体" w:hAnsi="宋体" w:eastAsia="宋体" w:cs="宋体"/>
          <w:sz w:val="30"/>
          <w:szCs w:val="30"/>
        </w:rPr>
        <w:t>。</w:t>
      </w:r>
    </w:p>
    <w:p>
      <w:pPr>
        <w:adjustRightInd w:val="0"/>
        <w:snapToGrid w:val="0"/>
        <w:spacing w:line="480" w:lineRule="exact"/>
        <w:ind w:firstLine="560" w:firstLineChars="200"/>
        <w:jc w:val="left"/>
        <w:rPr>
          <w:rFonts w:ascii="宋体" w:hAnsi="宋体"/>
          <w:sz w:val="28"/>
          <w:szCs w:val="28"/>
        </w:rPr>
      </w:pPr>
      <w:r>
        <w:rPr>
          <w:rFonts w:hint="eastAsia" w:ascii="宋体" w:hAnsi="宋体"/>
          <w:sz w:val="28"/>
          <w:szCs w:val="28"/>
        </w:rPr>
        <w:t>11.2</w:t>
      </w:r>
      <w:r>
        <w:rPr>
          <w:rFonts w:hint="eastAsia" w:ascii="宋体" w:hAnsi="宋体"/>
          <w:sz w:val="28"/>
          <w:szCs w:val="28"/>
          <w:lang w:val="en-US" w:eastAsia="zh-CN"/>
        </w:rPr>
        <w:t xml:space="preserve"> </w:t>
      </w:r>
      <w:r>
        <w:rPr>
          <w:rFonts w:hint="eastAsia" w:ascii="宋体" w:hAnsi="宋体"/>
          <w:sz w:val="28"/>
          <w:szCs w:val="28"/>
        </w:rPr>
        <w:t>参与方式：本次招标采取函件</w:t>
      </w:r>
      <w:r>
        <w:rPr>
          <w:rFonts w:hint="eastAsia" w:ascii="宋体" w:hAnsi="宋体"/>
          <w:sz w:val="28"/>
          <w:szCs w:val="28"/>
          <w:lang w:eastAsia="zh-CN"/>
        </w:rPr>
        <w:t>投标人</w:t>
      </w:r>
      <w:r>
        <w:rPr>
          <w:rFonts w:hint="eastAsia" w:ascii="宋体" w:hAnsi="宋体"/>
          <w:sz w:val="28"/>
          <w:szCs w:val="28"/>
        </w:rPr>
        <w:t>式，以函件方式参与投标时，</w:t>
      </w:r>
      <w:r>
        <w:rPr>
          <w:rFonts w:hint="eastAsia" w:ascii="宋体" w:hAnsi="宋体"/>
          <w:b w:val="0"/>
          <w:bCs/>
          <w:sz w:val="30"/>
          <w:szCs w:val="30"/>
        </w:rPr>
        <w:t>快递单上请注明投标单位名称，</w:t>
      </w:r>
      <w:r>
        <w:rPr>
          <w:rFonts w:hint="eastAsia" w:ascii="宋体" w:hAnsi="宋体"/>
          <w:sz w:val="28"/>
          <w:szCs w:val="28"/>
        </w:rPr>
        <w:t>建议选用邮政EMS或顺丰快递，于20</w:t>
      </w:r>
      <w:r>
        <w:rPr>
          <w:rFonts w:ascii="宋体" w:hAnsi="宋体"/>
          <w:sz w:val="28"/>
          <w:szCs w:val="28"/>
        </w:rPr>
        <w:t>20</w:t>
      </w:r>
      <w:r>
        <w:rPr>
          <w:rFonts w:hint="eastAsia" w:ascii="宋体" w:hAnsi="宋体"/>
          <w:sz w:val="28"/>
          <w:szCs w:val="28"/>
          <w:lang w:val="en-US" w:eastAsia="zh-CN"/>
        </w:rPr>
        <w:t>年  8</w:t>
      </w:r>
      <w:r>
        <w:rPr>
          <w:rFonts w:hint="eastAsia" w:ascii="宋体" w:hAnsi="宋体"/>
          <w:sz w:val="28"/>
          <w:szCs w:val="28"/>
        </w:rPr>
        <w:t>月</w:t>
      </w:r>
      <w:r>
        <w:rPr>
          <w:rFonts w:hint="eastAsia" w:ascii="宋体" w:hAnsi="宋体"/>
          <w:sz w:val="28"/>
          <w:szCs w:val="28"/>
          <w:lang w:val="en-US" w:eastAsia="zh-CN"/>
        </w:rPr>
        <w:t>3</w:t>
      </w:r>
      <w:r>
        <w:rPr>
          <w:rFonts w:hint="eastAsia" w:ascii="宋体" w:hAnsi="宋体"/>
          <w:sz w:val="28"/>
          <w:szCs w:val="28"/>
        </w:rPr>
        <w:t xml:space="preserve">  日</w:t>
      </w:r>
      <w:r>
        <w:rPr>
          <w:rFonts w:hint="eastAsia" w:ascii="宋体" w:hAnsi="宋体"/>
          <w:sz w:val="28"/>
          <w:szCs w:val="28"/>
          <w:lang w:val="en-US" w:eastAsia="zh-CN"/>
        </w:rPr>
        <w:t>15:00</w:t>
      </w:r>
      <w:r>
        <w:rPr>
          <w:rFonts w:hint="eastAsia" w:ascii="宋体" w:hAnsi="宋体"/>
          <w:sz w:val="28"/>
          <w:szCs w:val="28"/>
        </w:rPr>
        <w:t xml:space="preserve"> 时（北京时间）之前寄达（以收达时间为准）。邮寄地址：</w:t>
      </w:r>
      <w:r>
        <w:rPr>
          <w:rFonts w:hint="eastAsia" w:ascii="宋体" w:hAnsi="宋体"/>
          <w:color w:val="000000"/>
          <w:kern w:val="0"/>
          <w:sz w:val="28"/>
          <w:szCs w:val="28"/>
        </w:rPr>
        <w:t>福建省建瓯市吉苑路11号</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股份有限公司工程设备部，收件人</w:t>
      </w:r>
      <w:r>
        <w:rPr>
          <w:rFonts w:hint="eastAsia" w:ascii="宋体" w:hAnsi="宋体"/>
          <w:sz w:val="28"/>
          <w:szCs w:val="28"/>
          <w:lang w:val="en-US" w:eastAsia="zh-CN"/>
        </w:rPr>
        <w:t>刘素华</w:t>
      </w:r>
      <w:r>
        <w:rPr>
          <w:rFonts w:hint="eastAsia" w:ascii="宋体" w:hAnsi="宋体"/>
          <w:sz w:val="28"/>
          <w:szCs w:val="28"/>
        </w:rPr>
        <w:t>，联系电话：1</w:t>
      </w:r>
      <w:r>
        <w:rPr>
          <w:rFonts w:hint="eastAsia" w:ascii="宋体" w:hAnsi="宋体"/>
          <w:sz w:val="28"/>
          <w:szCs w:val="28"/>
          <w:lang w:val="en-US" w:eastAsia="zh-CN"/>
        </w:rPr>
        <w:t>8020923338</w:t>
      </w:r>
      <w:r>
        <w:rPr>
          <w:rFonts w:hint="eastAsia" w:ascii="宋体" w:hAnsi="宋体"/>
          <w:sz w:val="28"/>
          <w:szCs w:val="28"/>
        </w:rPr>
        <w:t>。</w:t>
      </w:r>
    </w:p>
    <w:p>
      <w:pPr>
        <w:adjustRightInd w:val="0"/>
        <w:snapToGrid w:val="0"/>
        <w:spacing w:line="480" w:lineRule="exact"/>
        <w:jc w:val="left"/>
        <w:rPr>
          <w:rFonts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12.1</w:t>
      </w:r>
      <w:r>
        <w:rPr>
          <w:rFonts w:hint="eastAsia" w:ascii="宋体" w:hAnsi="宋体"/>
          <w:sz w:val="28"/>
          <w:szCs w:val="28"/>
          <w:lang w:eastAsia="zh-CN"/>
        </w:rPr>
        <w:t>投标人</w:t>
      </w:r>
      <w:r>
        <w:rPr>
          <w:rFonts w:hint="eastAsia" w:ascii="宋体" w:hAnsi="宋体"/>
          <w:sz w:val="28"/>
          <w:szCs w:val="28"/>
        </w:rPr>
        <w:t>应在开标时间之前预交投标保证金</w:t>
      </w:r>
      <w:r>
        <w:rPr>
          <w:rFonts w:hint="eastAsia" w:ascii="宋体" w:hAnsi="宋体" w:eastAsia="宋体" w:cs="宋体"/>
          <w:sz w:val="30"/>
          <w:szCs w:val="30"/>
        </w:rPr>
        <w:t>10</w:t>
      </w:r>
      <w:r>
        <w:rPr>
          <w:rFonts w:hint="eastAsia" w:ascii="宋体" w:hAnsi="宋体" w:eastAsia="宋体" w:cs="宋体"/>
          <w:sz w:val="30"/>
          <w:szCs w:val="30"/>
          <w:lang w:eastAsia="zh-CN"/>
        </w:rPr>
        <w:t>万</w:t>
      </w:r>
      <w:r>
        <w:rPr>
          <w:rFonts w:hint="eastAsia" w:ascii="宋体" w:hAnsi="宋体" w:eastAsia="宋体" w:cs="宋体"/>
          <w:sz w:val="30"/>
          <w:szCs w:val="30"/>
        </w:rPr>
        <w:t>元（汇款</w:t>
      </w:r>
      <w:r>
        <w:rPr>
          <w:rFonts w:hint="eastAsia"/>
          <w:color w:val="000000"/>
          <w:sz w:val="28"/>
          <w:szCs w:val="28"/>
        </w:rPr>
        <w:t>电子回单或保证金函以单独密封方式装订）</w:t>
      </w:r>
      <w:r>
        <w:rPr>
          <w:rFonts w:hint="eastAsia" w:ascii="宋体" w:hAnsi="宋体"/>
          <w:sz w:val="28"/>
          <w:szCs w:val="28"/>
        </w:rPr>
        <w:t>。</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12.2投标保证金按以下方式提交：</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银行电汇：（开户银行：兴业银行建瓯市支行、账户名：</w:t>
      </w:r>
      <w:r>
        <w:rPr>
          <w:rFonts w:hint="eastAsia" w:ascii="宋体" w:hAnsi="宋体"/>
          <w:color w:val="000000"/>
          <w:sz w:val="28"/>
          <w:szCs w:val="28"/>
        </w:rPr>
        <w:t>水仙药业（建瓯）</w:t>
      </w:r>
      <w:r>
        <w:rPr>
          <w:rFonts w:hint="eastAsia" w:ascii="宋体" w:hAnsi="宋体"/>
          <w:sz w:val="28"/>
          <w:szCs w:val="28"/>
        </w:rPr>
        <w:t>股份有限公司、账号：193010100100078932）</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12.3对于未能按规定提交投标保证金的投标，将被视为不响应招标文件而予以拒绝。</w:t>
      </w:r>
    </w:p>
    <w:p>
      <w:pPr>
        <w:ind w:firstLine="560" w:firstLineChars="200"/>
        <w:rPr>
          <w:rFonts w:hint="eastAsia" w:ascii="宋体" w:hAnsi="宋体" w:eastAsia="宋体" w:cs="宋体"/>
          <w:sz w:val="30"/>
          <w:szCs w:val="30"/>
        </w:rPr>
      </w:pPr>
      <w:r>
        <w:rPr>
          <w:rFonts w:hint="eastAsia" w:ascii="宋体" w:hAnsi="宋体"/>
          <w:sz w:val="28"/>
          <w:szCs w:val="28"/>
        </w:rPr>
        <w:t>12.4</w:t>
      </w:r>
      <w:r>
        <w:rPr>
          <w:rFonts w:hint="eastAsia" w:ascii="宋体" w:hAnsi="宋体" w:eastAsia="宋体" w:cs="宋体"/>
          <w:sz w:val="30"/>
          <w:szCs w:val="30"/>
        </w:rPr>
        <w:t>未中标的</w:t>
      </w:r>
      <w:r>
        <w:rPr>
          <w:rFonts w:hint="eastAsia" w:ascii="宋体" w:hAnsi="宋体" w:eastAsia="宋体" w:cs="宋体"/>
          <w:sz w:val="30"/>
          <w:szCs w:val="30"/>
          <w:lang w:eastAsia="zh-CN"/>
        </w:rPr>
        <w:t>投标人</w:t>
      </w:r>
      <w:r>
        <w:rPr>
          <w:rFonts w:hint="eastAsia" w:ascii="宋体" w:hAnsi="宋体" w:eastAsia="宋体" w:cs="宋体"/>
          <w:sz w:val="30"/>
          <w:szCs w:val="30"/>
        </w:rPr>
        <w:t>的投标保证金，</w:t>
      </w:r>
      <w:r>
        <w:rPr>
          <w:rFonts w:hint="eastAsia" w:ascii="宋体" w:hAnsi="宋体" w:eastAsia="宋体" w:cs="宋体"/>
          <w:sz w:val="30"/>
          <w:szCs w:val="30"/>
          <w:lang w:eastAsia="zh-CN"/>
        </w:rPr>
        <w:t>招标人</w:t>
      </w:r>
      <w:r>
        <w:rPr>
          <w:rFonts w:hint="eastAsia" w:ascii="宋体" w:hAnsi="宋体" w:eastAsia="宋体" w:cs="宋体"/>
          <w:sz w:val="30"/>
          <w:szCs w:val="30"/>
        </w:rPr>
        <w:t>将</w:t>
      </w:r>
      <w:r>
        <w:rPr>
          <w:rFonts w:hint="eastAsia" w:ascii="宋体" w:hAnsi="宋体" w:eastAsia="宋体" w:cs="宋体"/>
          <w:sz w:val="30"/>
          <w:szCs w:val="30"/>
          <w:lang w:eastAsia="zh-CN"/>
        </w:rPr>
        <w:t>在中标公示结束后</w:t>
      </w:r>
      <w:r>
        <w:rPr>
          <w:rFonts w:hint="eastAsia" w:ascii="宋体" w:hAnsi="宋体" w:eastAsia="宋体" w:cs="宋体"/>
          <w:sz w:val="30"/>
          <w:szCs w:val="30"/>
        </w:rPr>
        <w:t>5个工作日内以电汇形式退还。</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12.5中标的</w:t>
      </w:r>
      <w:r>
        <w:rPr>
          <w:rFonts w:hint="eastAsia" w:ascii="宋体" w:hAnsi="宋体" w:eastAsia="宋体" w:cs="宋体"/>
          <w:sz w:val="30"/>
          <w:szCs w:val="30"/>
          <w:lang w:eastAsia="zh-CN"/>
        </w:rPr>
        <w:t>投标人</w:t>
      </w:r>
      <w:r>
        <w:rPr>
          <w:rFonts w:hint="eastAsia" w:ascii="宋体" w:hAnsi="宋体" w:eastAsia="宋体" w:cs="宋体"/>
          <w:sz w:val="30"/>
          <w:szCs w:val="30"/>
        </w:rPr>
        <w:t>的投标保证金，将</w:t>
      </w:r>
      <w:r>
        <w:rPr>
          <w:rFonts w:hint="eastAsia" w:ascii="宋体" w:hAnsi="宋体" w:eastAsia="宋体" w:cs="宋体"/>
          <w:sz w:val="30"/>
          <w:szCs w:val="30"/>
          <w:lang w:eastAsia="zh-CN"/>
        </w:rPr>
        <w:t>转为履约保证金，</w:t>
      </w:r>
      <w:r>
        <w:rPr>
          <w:rFonts w:hint="eastAsia" w:ascii="宋体" w:hAnsi="宋体" w:eastAsia="宋体" w:cs="宋体"/>
          <w:sz w:val="30"/>
          <w:szCs w:val="30"/>
        </w:rPr>
        <w:t>在设备安装调试验收合格后予以全额退还。</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12.6 如</w:t>
      </w:r>
      <w:r>
        <w:rPr>
          <w:rFonts w:hint="eastAsia" w:ascii="宋体" w:hAnsi="宋体"/>
          <w:sz w:val="28"/>
          <w:szCs w:val="28"/>
          <w:lang w:eastAsia="zh-CN"/>
        </w:rPr>
        <w:t>投标人</w:t>
      </w:r>
      <w:r>
        <w:rPr>
          <w:rFonts w:hint="eastAsia" w:ascii="宋体" w:hAnsi="宋体"/>
          <w:sz w:val="28"/>
          <w:szCs w:val="28"/>
        </w:rPr>
        <w:t>有下列情况发生时，其投标保证金将不予退还。</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12.6.1</w:t>
      </w:r>
      <w:r>
        <w:rPr>
          <w:rFonts w:hint="eastAsia" w:ascii="宋体" w:hAnsi="宋体"/>
          <w:sz w:val="28"/>
          <w:szCs w:val="28"/>
          <w:lang w:eastAsia="zh-CN"/>
        </w:rPr>
        <w:t>投标人</w:t>
      </w:r>
      <w:r>
        <w:rPr>
          <w:rFonts w:hint="eastAsia" w:ascii="宋体" w:hAnsi="宋体"/>
          <w:sz w:val="28"/>
          <w:szCs w:val="28"/>
        </w:rPr>
        <w:t>在投标有效期内撤回投标；</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12.6.2成为</w:t>
      </w:r>
      <w:r>
        <w:rPr>
          <w:rFonts w:hint="eastAsia" w:ascii="宋体" w:hAnsi="宋体"/>
          <w:sz w:val="28"/>
          <w:szCs w:val="28"/>
          <w:lang w:eastAsia="zh-CN"/>
        </w:rPr>
        <w:t>中标人</w:t>
      </w:r>
      <w:r>
        <w:rPr>
          <w:rFonts w:hint="eastAsia" w:ascii="宋体" w:hAnsi="宋体"/>
          <w:sz w:val="28"/>
          <w:szCs w:val="28"/>
        </w:rPr>
        <w:t>后5天内，</w:t>
      </w:r>
      <w:r>
        <w:rPr>
          <w:rFonts w:hint="eastAsia" w:ascii="宋体" w:hAnsi="宋体"/>
          <w:sz w:val="28"/>
          <w:szCs w:val="28"/>
          <w:lang w:eastAsia="zh-CN"/>
        </w:rPr>
        <w:t>中标人</w:t>
      </w:r>
      <w:r>
        <w:rPr>
          <w:rFonts w:hint="eastAsia" w:ascii="宋体" w:hAnsi="宋体"/>
          <w:sz w:val="28"/>
          <w:szCs w:val="28"/>
        </w:rPr>
        <w:t>未能按</w:t>
      </w:r>
      <w:r>
        <w:rPr>
          <w:rFonts w:hint="eastAsia" w:ascii="宋体" w:hAnsi="宋体"/>
          <w:sz w:val="28"/>
          <w:szCs w:val="28"/>
          <w:lang w:eastAsia="zh-CN"/>
        </w:rPr>
        <w:t>招标人</w:t>
      </w:r>
      <w:r>
        <w:rPr>
          <w:rFonts w:hint="eastAsia" w:ascii="宋体" w:hAnsi="宋体"/>
          <w:sz w:val="28"/>
          <w:szCs w:val="28"/>
        </w:rPr>
        <w:t>通知签订合同的；</w:t>
      </w:r>
    </w:p>
    <w:p>
      <w:pPr>
        <w:tabs>
          <w:tab w:val="left" w:pos="720"/>
        </w:tabs>
        <w:adjustRightInd w:val="0"/>
        <w:snapToGrid w:val="0"/>
        <w:spacing w:line="480" w:lineRule="exact"/>
        <w:ind w:firstLine="560" w:firstLineChars="200"/>
        <w:rPr>
          <w:rFonts w:ascii="宋体" w:hAnsi="宋体"/>
          <w:sz w:val="28"/>
          <w:szCs w:val="28"/>
        </w:rPr>
      </w:pPr>
      <w:r>
        <w:rPr>
          <w:rFonts w:hint="eastAsia" w:ascii="宋体" w:hAnsi="宋体"/>
          <w:sz w:val="28"/>
          <w:szCs w:val="28"/>
        </w:rPr>
        <w:t>12.6.3</w:t>
      </w:r>
      <w:r>
        <w:rPr>
          <w:rFonts w:hint="eastAsia" w:ascii="宋体" w:hAnsi="宋体"/>
          <w:sz w:val="28"/>
          <w:szCs w:val="28"/>
          <w:lang w:eastAsia="zh-CN"/>
        </w:rPr>
        <w:t>中标人</w:t>
      </w:r>
      <w:r>
        <w:rPr>
          <w:rFonts w:hint="eastAsia" w:ascii="宋体" w:hAnsi="宋体"/>
          <w:sz w:val="28"/>
          <w:szCs w:val="28"/>
        </w:rPr>
        <w:t>将该项目转包他人的；</w:t>
      </w:r>
    </w:p>
    <w:p>
      <w:pPr>
        <w:tabs>
          <w:tab w:val="left" w:pos="720"/>
        </w:tabs>
        <w:adjustRightInd w:val="0"/>
        <w:snapToGrid w:val="0"/>
        <w:spacing w:line="480" w:lineRule="exact"/>
        <w:ind w:firstLine="560" w:firstLineChars="200"/>
        <w:rPr>
          <w:rFonts w:ascii="宋体" w:hAnsi="宋体"/>
          <w:sz w:val="28"/>
          <w:szCs w:val="28"/>
        </w:rPr>
      </w:pPr>
      <w:r>
        <w:rPr>
          <w:rFonts w:hint="eastAsia" w:ascii="宋体" w:hAnsi="宋体"/>
          <w:sz w:val="28"/>
          <w:szCs w:val="28"/>
        </w:rPr>
        <w:t>12.6.4其他违反法律规定的。</w:t>
      </w:r>
    </w:p>
    <w:p>
      <w:pPr>
        <w:adjustRightInd w:val="0"/>
        <w:snapToGrid w:val="0"/>
        <w:spacing w:line="480" w:lineRule="exact"/>
        <w:jc w:val="left"/>
        <w:rPr>
          <w:rFonts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13.1投标资料分成三部分，每部分编制一式二份并分开单独装订密封:</w:t>
      </w:r>
    </w:p>
    <w:p>
      <w:pPr>
        <w:widowControl/>
        <w:shd w:val="clear" w:color="auto" w:fill="FFFFFF"/>
        <w:spacing w:line="480" w:lineRule="exact"/>
        <w:ind w:firstLine="560" w:firstLineChars="200"/>
        <w:jc w:val="left"/>
        <w:rPr>
          <w:rFonts w:ascii="宋体" w:hAnsi="宋体"/>
          <w:color w:val="000000"/>
          <w:kern w:val="0"/>
          <w:sz w:val="28"/>
          <w:szCs w:val="28"/>
        </w:rPr>
      </w:pPr>
      <w:r>
        <w:rPr>
          <w:rFonts w:hint="eastAsia" w:ascii="宋体" w:hAnsi="宋体"/>
          <w:sz w:val="28"/>
          <w:szCs w:val="28"/>
        </w:rPr>
        <w:t>13.1.1第一部分为资格文件，主要内容为详细的</w:t>
      </w:r>
      <w:r>
        <w:rPr>
          <w:rFonts w:hint="eastAsia" w:ascii="宋体" w:hAnsi="宋体"/>
          <w:sz w:val="28"/>
          <w:szCs w:val="28"/>
          <w:lang w:eastAsia="zh-CN"/>
        </w:rPr>
        <w:t>投标人</w:t>
      </w:r>
      <w:r>
        <w:rPr>
          <w:rFonts w:hint="eastAsia" w:ascii="宋体" w:hAnsi="宋体"/>
          <w:sz w:val="28"/>
          <w:szCs w:val="28"/>
        </w:rPr>
        <w:t>资料，包括</w:t>
      </w:r>
      <w:r>
        <w:rPr>
          <w:rFonts w:hint="eastAsia" w:ascii="宋体" w:hAnsi="宋体"/>
          <w:b/>
          <w:color w:val="000000"/>
          <w:kern w:val="0"/>
          <w:sz w:val="28"/>
          <w:szCs w:val="28"/>
        </w:rPr>
        <w:t>a.</w:t>
      </w:r>
      <w:r>
        <w:rPr>
          <w:rFonts w:hint="eastAsia" w:ascii="宋体" w:hAnsi="宋体"/>
          <w:sz w:val="28"/>
          <w:szCs w:val="28"/>
        </w:rPr>
        <w:t>三证合一的《营业执照》；</w:t>
      </w:r>
      <w:r>
        <w:rPr>
          <w:rFonts w:hint="eastAsia" w:ascii="宋体" w:hAnsi="宋体"/>
          <w:b/>
          <w:sz w:val="28"/>
          <w:szCs w:val="28"/>
        </w:rPr>
        <w:t>b.</w:t>
      </w:r>
      <w:r>
        <w:rPr>
          <w:rFonts w:hint="eastAsia" w:ascii="宋体" w:hAnsi="宋体"/>
          <w:bCs/>
          <w:sz w:val="28"/>
          <w:szCs w:val="28"/>
        </w:rPr>
        <w:t>企业简介；</w:t>
      </w:r>
      <w:r>
        <w:rPr>
          <w:rFonts w:hint="eastAsia" w:ascii="宋体" w:hAnsi="宋体"/>
          <w:b/>
          <w:sz w:val="28"/>
          <w:szCs w:val="28"/>
        </w:rPr>
        <w:t>c.</w:t>
      </w:r>
      <w:r>
        <w:rPr>
          <w:rFonts w:hint="eastAsia" w:ascii="宋体" w:hAnsi="宋体"/>
          <w:sz w:val="28"/>
          <w:szCs w:val="28"/>
        </w:rPr>
        <w:t>本招标文件第10条款中要求的其他资料；</w:t>
      </w:r>
      <w:r>
        <w:rPr>
          <w:rFonts w:hint="eastAsia" w:ascii="宋体" w:hAnsi="宋体"/>
          <w:b/>
          <w:sz w:val="28"/>
          <w:szCs w:val="28"/>
        </w:rPr>
        <w:t>d.</w:t>
      </w:r>
      <w:r>
        <w:rPr>
          <w:rFonts w:hint="eastAsia" w:ascii="宋体" w:hAnsi="宋体"/>
          <w:bCs/>
          <w:color w:val="000000"/>
          <w:kern w:val="0"/>
          <w:sz w:val="28"/>
          <w:szCs w:val="28"/>
        </w:rPr>
        <w:t>非法人代表参与投标的需提供法人代表授权书；</w:t>
      </w:r>
      <w:r>
        <w:rPr>
          <w:rFonts w:hint="eastAsia" w:ascii="宋体" w:hAnsi="宋体"/>
          <w:b/>
          <w:bCs/>
          <w:color w:val="000000"/>
          <w:kern w:val="0"/>
          <w:sz w:val="28"/>
          <w:szCs w:val="28"/>
        </w:rPr>
        <w:t>e.</w:t>
      </w:r>
      <w:r>
        <w:rPr>
          <w:rFonts w:hint="eastAsia" w:ascii="宋体" w:hAnsi="宋体"/>
          <w:color w:val="000000"/>
          <w:kern w:val="0"/>
          <w:sz w:val="28"/>
          <w:szCs w:val="28"/>
        </w:rPr>
        <w:t>投标诚信承诺书。并分别加盖公章</w:t>
      </w:r>
      <w:r>
        <w:rPr>
          <w:rFonts w:hint="eastAsia" w:ascii="宋体" w:hAnsi="宋体"/>
          <w:sz w:val="28"/>
          <w:szCs w:val="28"/>
        </w:rPr>
        <w:t>。</w:t>
      </w:r>
    </w:p>
    <w:p>
      <w:pPr>
        <w:adjustRightInd w:val="0"/>
        <w:snapToGrid w:val="0"/>
        <w:spacing w:line="480" w:lineRule="exact"/>
        <w:ind w:firstLine="560" w:firstLineChars="200"/>
        <w:jc w:val="left"/>
        <w:rPr>
          <w:rFonts w:ascii="宋体" w:hAnsi="宋体"/>
          <w:sz w:val="28"/>
          <w:szCs w:val="28"/>
        </w:rPr>
      </w:pPr>
      <w:r>
        <w:rPr>
          <w:rFonts w:hint="eastAsia" w:ascii="宋体" w:hAnsi="宋体"/>
          <w:sz w:val="28"/>
          <w:szCs w:val="28"/>
        </w:rPr>
        <w:t>13.1.2第二部分为技术文件，主要内容为厂家技术说明、技术参数、</w:t>
      </w:r>
      <w:r>
        <w:rPr>
          <w:rStyle w:val="20"/>
          <w:rFonts w:hint="eastAsia" w:ascii="宋体" w:hAnsi="宋体"/>
          <w:color w:val="000000"/>
          <w:sz w:val="28"/>
          <w:szCs w:val="28"/>
        </w:rPr>
        <w:t>材料材质证明</w:t>
      </w:r>
      <w:r>
        <w:rPr>
          <w:rFonts w:hint="eastAsia" w:ascii="宋体" w:hAnsi="宋体"/>
          <w:sz w:val="28"/>
          <w:szCs w:val="28"/>
        </w:rPr>
        <w:t>、技术</w:t>
      </w:r>
      <w:r>
        <w:rPr>
          <w:rFonts w:ascii="宋体" w:hAnsi="宋体"/>
          <w:sz w:val="28"/>
          <w:szCs w:val="28"/>
        </w:rPr>
        <w:t>协议</w:t>
      </w:r>
      <w:r>
        <w:rPr>
          <w:rFonts w:hint="eastAsia" w:ascii="宋体" w:hAnsi="宋体"/>
          <w:sz w:val="28"/>
          <w:szCs w:val="28"/>
        </w:rPr>
        <w:t>参数表</w:t>
      </w:r>
      <w:r>
        <w:rPr>
          <w:rFonts w:ascii="宋体" w:hAnsi="宋体"/>
          <w:sz w:val="28"/>
          <w:szCs w:val="28"/>
        </w:rPr>
        <w:t>、</w:t>
      </w:r>
      <w:r>
        <w:rPr>
          <w:rFonts w:hint="eastAsia" w:ascii="宋体" w:hAnsi="宋体"/>
          <w:sz w:val="28"/>
          <w:szCs w:val="28"/>
        </w:rPr>
        <w:t>技术偏离表（对本招标文件第2和第5条款中各技术指标和质量要求的响应，如未说明即默认完全响应），售后</w:t>
      </w:r>
      <w:r>
        <w:rPr>
          <w:rFonts w:ascii="宋体" w:hAnsi="宋体"/>
          <w:sz w:val="28"/>
          <w:szCs w:val="28"/>
        </w:rPr>
        <w:t>服务</w:t>
      </w:r>
      <w:r>
        <w:rPr>
          <w:rFonts w:hint="eastAsia" w:ascii="宋体" w:hAnsi="宋体"/>
          <w:sz w:val="28"/>
          <w:szCs w:val="28"/>
        </w:rPr>
        <w:t>承诺等</w:t>
      </w:r>
      <w:r>
        <w:rPr>
          <w:rFonts w:ascii="宋体" w:hAnsi="宋体"/>
          <w:sz w:val="28"/>
          <w:szCs w:val="28"/>
        </w:rPr>
        <w:t>，</w:t>
      </w:r>
      <w:r>
        <w:rPr>
          <w:rFonts w:hint="eastAsia" w:ascii="宋体" w:hAnsi="宋体"/>
          <w:sz w:val="28"/>
          <w:szCs w:val="28"/>
        </w:rPr>
        <w:t>并分别加盖公章。</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13.1.3第三部分商务文件,包括投标报价表、各部分分项报价、商务偏离表（对本招标文件第4条款中的“付款方式”的响应，如未说明即默认完全响应），有法人代表或被委托人的签字，并分别加盖公章。</w:t>
      </w:r>
    </w:p>
    <w:p>
      <w:pPr>
        <w:adjustRightInd w:val="0"/>
        <w:snapToGrid w:val="0"/>
        <w:spacing w:line="480" w:lineRule="exact"/>
        <w:ind w:firstLine="560" w:firstLineChars="200"/>
        <w:rPr>
          <w:rFonts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560" w:firstLineChars="200"/>
        <w:jc w:val="left"/>
        <w:rPr>
          <w:rFonts w:ascii="宋体" w:hAnsi="宋体"/>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投标报价单采用本次招标文件规定的统一格式，</w:t>
      </w:r>
      <w:r>
        <w:rPr>
          <w:rFonts w:hint="eastAsia" w:ascii="宋体" w:hAnsi="宋体"/>
          <w:sz w:val="28"/>
          <w:szCs w:val="28"/>
          <w:lang w:eastAsia="zh-CN"/>
        </w:rPr>
        <w:t>投标人</w:t>
      </w:r>
      <w:r>
        <w:rPr>
          <w:rFonts w:hint="eastAsia" w:ascii="宋体" w:hAnsi="宋体"/>
          <w:sz w:val="28"/>
          <w:szCs w:val="28"/>
        </w:rPr>
        <w:t>自行制作的该项文档无效，其它材料由</w:t>
      </w:r>
      <w:r>
        <w:rPr>
          <w:rFonts w:hint="eastAsia" w:ascii="宋体" w:hAnsi="宋体"/>
          <w:sz w:val="28"/>
          <w:szCs w:val="28"/>
          <w:lang w:eastAsia="zh-CN"/>
        </w:rPr>
        <w:t>投标人</w:t>
      </w:r>
      <w:r>
        <w:rPr>
          <w:rFonts w:hint="eastAsia" w:ascii="宋体" w:hAnsi="宋体"/>
          <w:sz w:val="28"/>
          <w:szCs w:val="28"/>
        </w:rPr>
        <w:t>按照本次招标规定自行制作。</w:t>
      </w:r>
    </w:p>
    <w:p>
      <w:pPr>
        <w:adjustRightInd w:val="0"/>
        <w:snapToGrid w:val="0"/>
        <w:spacing w:line="480" w:lineRule="exact"/>
        <w:jc w:val="left"/>
        <w:rPr>
          <w:rFonts w:ascii="宋体" w:hAnsi="宋体"/>
          <w:b/>
          <w:sz w:val="28"/>
          <w:szCs w:val="28"/>
        </w:rPr>
      </w:pPr>
      <w:r>
        <w:rPr>
          <w:rFonts w:hint="eastAsia" w:ascii="宋体" w:hAnsi="宋体"/>
          <w:b/>
          <w:sz w:val="28"/>
          <w:szCs w:val="28"/>
        </w:rPr>
        <w:t>14.评标</w:t>
      </w:r>
    </w:p>
    <w:p>
      <w:pPr>
        <w:adjustRightInd w:val="0"/>
        <w:snapToGrid w:val="0"/>
        <w:spacing w:line="480" w:lineRule="exact"/>
        <w:ind w:firstLine="560" w:firstLineChars="200"/>
        <w:jc w:val="left"/>
        <w:rPr>
          <w:rFonts w:ascii="宋体" w:hAnsi="宋体"/>
          <w:sz w:val="28"/>
          <w:szCs w:val="28"/>
        </w:rPr>
      </w:pPr>
      <w:r>
        <w:rPr>
          <w:rFonts w:hint="eastAsia" w:ascii="宋体" w:hAnsi="宋体"/>
          <w:sz w:val="28"/>
          <w:szCs w:val="28"/>
        </w:rPr>
        <w:t>评标小组为水仙药业（建瓯）股份有限公司招投标工作小组。在投标、评标期间，</w:t>
      </w:r>
      <w:r>
        <w:rPr>
          <w:rFonts w:hint="eastAsia" w:ascii="宋体" w:hAnsi="宋体"/>
          <w:sz w:val="28"/>
          <w:szCs w:val="28"/>
          <w:lang w:eastAsia="zh-CN"/>
        </w:rPr>
        <w:t>投标人</w:t>
      </w:r>
      <w:r>
        <w:rPr>
          <w:rFonts w:hint="eastAsia" w:ascii="宋体" w:hAnsi="宋体"/>
          <w:sz w:val="28"/>
          <w:szCs w:val="28"/>
        </w:rPr>
        <w:t>不得向招标采购小组询问评标情况，不得进行影响评标结果的活动。为保证评标的公正性，在评标过程中，评议成员不得与</w:t>
      </w:r>
      <w:r>
        <w:rPr>
          <w:rFonts w:hint="eastAsia" w:ascii="宋体" w:hAnsi="宋体"/>
          <w:sz w:val="28"/>
          <w:szCs w:val="28"/>
          <w:lang w:eastAsia="zh-CN"/>
        </w:rPr>
        <w:t>投标人</w:t>
      </w:r>
      <w:r>
        <w:rPr>
          <w:rFonts w:hint="eastAsia" w:ascii="宋体" w:hAnsi="宋体"/>
          <w:sz w:val="28"/>
          <w:szCs w:val="28"/>
        </w:rPr>
        <w:t>私下交换意见。招标结束后，</w:t>
      </w:r>
      <w:r>
        <w:rPr>
          <w:rFonts w:hint="eastAsia" w:ascii="宋体" w:hAnsi="宋体"/>
          <w:sz w:val="28"/>
          <w:szCs w:val="28"/>
          <w:lang w:eastAsia="zh-CN"/>
        </w:rPr>
        <w:t>招标人</w:t>
      </w:r>
      <w:r>
        <w:rPr>
          <w:rFonts w:hint="eastAsia" w:ascii="宋体" w:hAnsi="宋体"/>
          <w:sz w:val="28"/>
          <w:szCs w:val="28"/>
        </w:rPr>
        <w:t>对未中标单位及未中标原因不予解释。</w:t>
      </w:r>
    </w:p>
    <w:p>
      <w:pPr>
        <w:adjustRightInd w:val="0"/>
        <w:snapToGrid w:val="0"/>
        <w:spacing w:line="480" w:lineRule="exact"/>
        <w:ind w:left="1799" w:hanging="1799" w:hangingChars="640"/>
        <w:rPr>
          <w:rFonts w:ascii="宋体" w:hAnsi="宋体"/>
          <w:color w:val="000000"/>
          <w:kern w:val="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p>
    <w:p>
      <w:pPr>
        <w:adjustRightInd w:val="0"/>
        <w:snapToGrid w:val="0"/>
        <w:spacing w:line="480" w:lineRule="exact"/>
        <w:ind w:firstLine="980" w:firstLineChars="350"/>
        <w:rPr>
          <w:rFonts w:ascii="宋体" w:hAnsi="宋体"/>
          <w:color w:val="000000"/>
          <w:kern w:val="0"/>
          <w:sz w:val="28"/>
          <w:szCs w:val="28"/>
        </w:rPr>
      </w:pPr>
      <w:r>
        <w:rPr>
          <w:rFonts w:ascii="_5b8b_4f53" w:hAnsi="_5b8b_4f53"/>
          <w:color w:val="000000"/>
          <w:sz w:val="28"/>
          <w:szCs w:val="28"/>
        </w:rPr>
        <w:t>漳州水仙药业股份有限公司</w:t>
      </w:r>
      <w:r>
        <w:rPr>
          <w:rFonts w:hint="eastAsia" w:ascii="_5b8b_4f53" w:hAnsi="_5b8b_4f53"/>
          <w:color w:val="000000"/>
          <w:sz w:val="28"/>
          <w:szCs w:val="28"/>
        </w:rPr>
        <w:t xml:space="preserve">       </w:t>
      </w:r>
      <w:r>
        <w:fldChar w:fldCharType="begin"/>
      </w:r>
      <w:r>
        <w:instrText xml:space="preserve"> HYPERLINK "https://mail.qq.com/cgi-bin/mail_spam?action=check_link&amp;spam=0&amp;spam_src=1&amp;mailid=ZC3406-bO~aFhz_ymeHLDliQr8~W8b&amp;url=http%3A%2F%2Fwww%2Ezzsx%2Ecom%2Ecn%2F" </w:instrText>
      </w:r>
      <w:r>
        <w:fldChar w:fldCharType="separate"/>
      </w:r>
      <w:r>
        <w:rPr>
          <w:rStyle w:val="19"/>
          <w:rFonts w:ascii="_5b8b_4f53" w:hAnsi="_5b8b_4f53" w:eastAsia="_5b8b_4f53"/>
          <w:sz w:val="28"/>
          <w:szCs w:val="28"/>
        </w:rPr>
        <w:t>www.zzsx.com.cn</w:t>
      </w:r>
      <w:r>
        <w:rPr>
          <w:rStyle w:val="19"/>
          <w:rFonts w:ascii="_5b8b_4f53" w:hAnsi="_5b8b_4f53" w:eastAsia="_5b8b_4f53"/>
          <w:sz w:val="28"/>
          <w:szCs w:val="28"/>
        </w:rPr>
        <w:fldChar w:fldCharType="end"/>
      </w:r>
    </w:p>
    <w:p>
      <w:pPr>
        <w:adjustRightInd w:val="0"/>
        <w:snapToGrid w:val="0"/>
        <w:spacing w:line="480" w:lineRule="exact"/>
        <w:ind w:firstLine="980" w:firstLineChars="350"/>
        <w:rPr>
          <w:rFonts w:ascii="宋体" w:hAnsi="宋体"/>
          <w:bCs/>
          <w:sz w:val="28"/>
          <w:szCs w:val="28"/>
        </w:rPr>
      </w:pPr>
      <w:r>
        <w:rPr>
          <w:rFonts w:hint="eastAsia" w:ascii="宋体" w:hAnsi="宋体"/>
          <w:bCs/>
          <w:sz w:val="28"/>
          <w:szCs w:val="28"/>
        </w:rPr>
        <w:t xml:space="preserve">福建省青山纸业股份有限公司     </w:t>
      </w:r>
      <w:r>
        <w:rPr>
          <w:rStyle w:val="19"/>
          <w:rFonts w:hint="eastAsia" w:ascii="_5b8b_4f53" w:hAnsi="_5b8b_4f53" w:eastAsia="_5b8b_4f53"/>
          <w:sz w:val="28"/>
          <w:szCs w:val="28"/>
        </w:rPr>
        <w:t>www.qingshanpaper.com</w:t>
      </w:r>
    </w:p>
    <w:p>
      <w:pPr>
        <w:adjustRightInd w:val="0"/>
        <w:snapToGrid w:val="0"/>
        <w:spacing w:line="480" w:lineRule="exact"/>
        <w:ind w:firstLine="980" w:firstLineChars="350"/>
        <w:rPr>
          <w:rFonts w:ascii="宋体" w:hAnsi="宋体"/>
          <w:bCs/>
          <w:sz w:val="28"/>
          <w:szCs w:val="28"/>
        </w:rPr>
      </w:pPr>
      <w:r>
        <w:rPr>
          <w:rFonts w:hint="eastAsia" w:ascii="宋体" w:hAnsi="宋体"/>
          <w:bCs/>
          <w:sz w:val="28"/>
          <w:szCs w:val="28"/>
        </w:rPr>
        <w:t xml:space="preserve">福建省轻纺（控股）有限责任公司 </w:t>
      </w:r>
      <w:r>
        <w:rPr>
          <w:rStyle w:val="19"/>
          <w:rFonts w:hint="eastAsia" w:ascii="_5b8b_4f53" w:hAnsi="_5b8b_4f53" w:eastAsia="_5b8b_4f53"/>
          <w:sz w:val="28"/>
          <w:szCs w:val="28"/>
        </w:rPr>
        <w:t>www.fjqfkg.com</w:t>
      </w:r>
    </w:p>
    <w:p>
      <w:pPr>
        <w:adjustRightInd w:val="0"/>
        <w:snapToGrid w:val="0"/>
        <w:spacing w:line="480" w:lineRule="exact"/>
        <w:jc w:val="left"/>
        <w:rPr>
          <w:rFonts w:ascii="宋体" w:hAnsi="宋体"/>
          <w:sz w:val="28"/>
          <w:szCs w:val="28"/>
        </w:rPr>
      </w:pPr>
      <w:r>
        <w:rPr>
          <w:rFonts w:hint="eastAsia" w:ascii="宋体" w:hAnsi="宋体"/>
          <w:sz w:val="28"/>
          <w:szCs w:val="28"/>
        </w:rPr>
        <w:t>联系方式： 0599-37281</w:t>
      </w:r>
      <w:r>
        <w:rPr>
          <w:rFonts w:ascii="宋体" w:hAnsi="宋体"/>
          <w:sz w:val="28"/>
          <w:szCs w:val="28"/>
        </w:rPr>
        <w:t>80</w:t>
      </w:r>
      <w:r>
        <w:rPr>
          <w:rFonts w:hint="eastAsia" w:ascii="宋体" w:hAnsi="宋体"/>
          <w:sz w:val="28"/>
          <w:szCs w:val="28"/>
        </w:rPr>
        <w:t>(工程设备</w:t>
      </w:r>
      <w:r>
        <w:rPr>
          <w:rFonts w:ascii="宋体" w:hAnsi="宋体"/>
          <w:sz w:val="28"/>
          <w:szCs w:val="28"/>
        </w:rPr>
        <w:t>部</w:t>
      </w:r>
      <w:r>
        <w:rPr>
          <w:rFonts w:hint="eastAsia" w:ascii="宋体" w:hAnsi="宋体"/>
          <w:sz w:val="28"/>
          <w:szCs w:val="28"/>
        </w:rPr>
        <w:t>)   3728390（传真）</w:t>
      </w:r>
    </w:p>
    <w:p>
      <w:pPr>
        <w:adjustRightInd w:val="0"/>
        <w:snapToGrid w:val="0"/>
        <w:spacing w:line="480" w:lineRule="exact"/>
        <w:jc w:val="left"/>
        <w:rPr>
          <w:rFonts w:ascii="宋体" w:hAnsi="宋体"/>
          <w:sz w:val="28"/>
          <w:szCs w:val="28"/>
        </w:rPr>
      </w:pPr>
      <w:r>
        <w:rPr>
          <w:rFonts w:hint="eastAsia" w:ascii="宋体" w:hAnsi="宋体"/>
          <w:sz w:val="28"/>
          <w:szCs w:val="28"/>
        </w:rPr>
        <w:t xml:space="preserve">           0599-3728</w:t>
      </w:r>
      <w:r>
        <w:rPr>
          <w:rFonts w:ascii="宋体" w:hAnsi="宋体"/>
          <w:sz w:val="28"/>
          <w:szCs w:val="28"/>
        </w:rPr>
        <w:t>180</w:t>
      </w:r>
      <w:r>
        <w:rPr>
          <w:rFonts w:hint="eastAsia" w:ascii="宋体" w:hAnsi="宋体"/>
          <w:sz w:val="28"/>
          <w:szCs w:val="28"/>
        </w:rPr>
        <w:t>(技术交流)</w:t>
      </w:r>
    </w:p>
    <w:p>
      <w:pPr>
        <w:adjustRightInd w:val="0"/>
        <w:snapToGrid w:val="0"/>
        <w:spacing w:line="480" w:lineRule="exact"/>
        <w:jc w:val="left"/>
        <w:rPr>
          <w:rFonts w:ascii="宋体" w:hAnsi="宋体"/>
          <w:sz w:val="28"/>
          <w:szCs w:val="28"/>
        </w:rPr>
      </w:pPr>
    </w:p>
    <w:p>
      <w:pPr>
        <w:adjustRightInd w:val="0"/>
        <w:snapToGrid w:val="0"/>
        <w:spacing w:line="480" w:lineRule="exact"/>
        <w:ind w:left="5453" w:leftChars="2128" w:hanging="984" w:hangingChars="350"/>
        <w:jc w:val="left"/>
        <w:rPr>
          <w:rFonts w:ascii="宋体" w:hAnsi="宋体"/>
          <w:b/>
          <w:sz w:val="28"/>
          <w:szCs w:val="28"/>
        </w:rPr>
      </w:pPr>
    </w:p>
    <w:p>
      <w:pPr>
        <w:adjustRightInd w:val="0"/>
        <w:snapToGrid w:val="0"/>
        <w:spacing w:line="480" w:lineRule="exact"/>
        <w:ind w:left="5874" w:leftChars="2128" w:hanging="1405" w:hangingChars="500"/>
        <w:jc w:val="left"/>
        <w:rPr>
          <w:rFonts w:ascii="宋体" w:hAnsi="宋体"/>
          <w:bCs/>
          <w:sz w:val="28"/>
          <w:szCs w:val="28"/>
        </w:rPr>
      </w:pPr>
      <w:r>
        <w:rPr>
          <w:rFonts w:hint="eastAsia" w:ascii="宋体" w:hAnsi="宋体"/>
          <w:b/>
          <w:sz w:val="28"/>
          <w:szCs w:val="28"/>
        </w:rPr>
        <w:t xml:space="preserve">水仙药业（建瓯）股份有限公司                                    </w:t>
      </w:r>
      <w:r>
        <w:rPr>
          <w:rFonts w:hint="eastAsia" w:ascii="宋体" w:hAnsi="宋体"/>
          <w:b/>
          <w:sz w:val="28"/>
          <w:szCs w:val="28"/>
          <w:highlight w:val="yellow"/>
        </w:rPr>
        <w:t xml:space="preserve"> </w:t>
      </w:r>
      <w:r>
        <w:rPr>
          <w:rFonts w:hint="eastAsia" w:ascii="宋体" w:hAnsi="宋体"/>
          <w:bCs/>
          <w:sz w:val="28"/>
          <w:szCs w:val="28"/>
        </w:rPr>
        <w:t>20</w:t>
      </w:r>
      <w:r>
        <w:rPr>
          <w:rFonts w:ascii="宋体" w:hAnsi="宋体"/>
          <w:bCs/>
          <w:sz w:val="28"/>
          <w:szCs w:val="28"/>
        </w:rPr>
        <w:t>20</w:t>
      </w:r>
      <w:r>
        <w:rPr>
          <w:rFonts w:hint="eastAsia" w:ascii="宋体" w:hAnsi="宋体" w:cs="仿宋_GB2312"/>
          <w:bCs/>
          <w:sz w:val="28"/>
          <w:szCs w:val="28"/>
        </w:rPr>
        <w:t xml:space="preserve">年 </w:t>
      </w:r>
      <w:r>
        <w:rPr>
          <w:rFonts w:hint="eastAsia" w:ascii="宋体" w:hAnsi="宋体" w:cs="仿宋_GB2312"/>
          <w:bCs/>
          <w:sz w:val="28"/>
          <w:szCs w:val="28"/>
          <w:lang w:val="en-US" w:eastAsia="zh-CN"/>
        </w:rPr>
        <w:t>7</w:t>
      </w:r>
      <w:r>
        <w:rPr>
          <w:rFonts w:hint="eastAsia" w:ascii="宋体" w:hAnsi="宋体" w:cs="仿宋_GB2312"/>
          <w:bCs/>
          <w:sz w:val="28"/>
          <w:szCs w:val="28"/>
        </w:rPr>
        <w:t xml:space="preserve"> 月 </w:t>
      </w:r>
      <w:r>
        <w:rPr>
          <w:rFonts w:hint="eastAsia" w:ascii="宋体" w:hAnsi="宋体" w:cs="仿宋_GB2312"/>
          <w:bCs/>
          <w:sz w:val="28"/>
          <w:szCs w:val="28"/>
          <w:lang w:val="en-US" w:eastAsia="zh-CN"/>
        </w:rPr>
        <w:t>24</w:t>
      </w:r>
      <w:r>
        <w:rPr>
          <w:rFonts w:hint="eastAsia" w:ascii="宋体" w:hAnsi="宋体" w:cs="仿宋_GB2312"/>
          <w:bCs/>
          <w:sz w:val="28"/>
          <w:szCs w:val="28"/>
        </w:rPr>
        <w:t xml:space="preserve"> </w:t>
      </w:r>
      <w:r>
        <w:rPr>
          <w:rFonts w:hint="eastAsia" w:ascii="宋体" w:hAnsi="宋体"/>
          <w:bCs/>
          <w:sz w:val="28"/>
          <w:szCs w:val="28"/>
        </w:rPr>
        <w:t>日</w:t>
      </w:r>
    </w:p>
    <w:p>
      <w:pPr>
        <w:adjustRightInd w:val="0"/>
        <w:snapToGrid w:val="0"/>
        <w:spacing w:line="480" w:lineRule="exact"/>
        <w:jc w:val="center"/>
        <w:rPr>
          <w:rFonts w:ascii="楷体_GB2312" w:eastAsia="楷体_GB2312"/>
          <w:b/>
          <w:bCs/>
          <w:sz w:val="48"/>
          <w:szCs w:val="48"/>
        </w:rPr>
      </w:pPr>
      <w:r>
        <w:rPr>
          <w:rFonts w:ascii="宋体" w:hAnsi="宋体"/>
          <w:bCs/>
          <w:sz w:val="28"/>
          <w:szCs w:val="28"/>
        </w:rPr>
        <w:br w:type="page"/>
      </w:r>
      <w:r>
        <w:rPr>
          <w:rFonts w:hint="eastAsia" w:ascii="楷体_GB2312" w:eastAsia="楷体_GB2312"/>
          <w:b/>
          <w:bCs/>
          <w:sz w:val="48"/>
          <w:szCs w:val="48"/>
        </w:rPr>
        <w:t>投标诚信承诺书</w:t>
      </w:r>
    </w:p>
    <w:p>
      <w:pPr>
        <w:ind w:firstLine="2880" w:firstLineChars="600"/>
        <w:rPr>
          <w:rFonts w:ascii="楷体_GB2312" w:eastAsia="楷体_GB2312"/>
          <w:sz w:val="48"/>
        </w:rPr>
      </w:pPr>
      <w:r>
        <w:rPr>
          <w:rFonts w:hint="eastAsia" w:ascii="楷体_GB2312" w:eastAsia="楷体_GB2312"/>
          <w:sz w:val="48"/>
        </w:rPr>
        <w:t xml:space="preserve">      </w:t>
      </w:r>
      <w:r>
        <w:rPr>
          <w:rFonts w:hint="eastAsia" w:ascii="楷体_GB2312" w:eastAsia="楷体_GB2312"/>
          <w:sz w:val="10"/>
          <w:szCs w:val="10"/>
        </w:rPr>
        <w:t xml:space="preserve">   </w:t>
      </w:r>
      <w:r>
        <w:rPr>
          <w:rFonts w:hint="eastAsia" w:ascii="楷体_GB2312" w:eastAsia="楷体_GB2312"/>
          <w:sz w:val="48"/>
        </w:rPr>
        <w:t xml:space="preserve">                        </w:t>
      </w:r>
    </w:p>
    <w:p>
      <w:pPr>
        <w:ind w:firstLine="560" w:firstLineChars="200"/>
        <w:rPr>
          <w:rFonts w:ascii="华文楷体" w:hAnsi="华文楷体" w:eastAsia="华文楷体" w:cs="华文楷体"/>
          <w:sz w:val="28"/>
        </w:rPr>
      </w:pPr>
      <w:r>
        <w:rPr>
          <w:rFonts w:hint="eastAsia" w:ascii="华文楷体" w:hAnsi="华文楷体" w:eastAsia="华文楷体" w:cs="华文楷体"/>
          <w:sz w:val="28"/>
        </w:rPr>
        <w:t>我方为</w:t>
      </w:r>
      <w:r>
        <w:rPr>
          <w:rFonts w:hint="eastAsia" w:ascii="华文楷体" w:hAnsi="华文楷体" w:eastAsia="华文楷体" w:cs="华文楷体"/>
          <w:sz w:val="28"/>
          <w:lang w:eastAsia="zh-CN"/>
        </w:rPr>
        <w:t>投标人</w:t>
      </w:r>
      <w:r>
        <w:rPr>
          <w:rFonts w:hint="eastAsia" w:ascii="华文楷体" w:hAnsi="华文楷体" w:eastAsia="华文楷体" w:cs="华文楷体"/>
          <w:sz w:val="28"/>
        </w:rPr>
        <w:t>，参加水仙药业（建瓯）股份有限公司的招标活动，奉行诚实守信的招标原则，我方向水仙药业（建瓯）股份有限公司做出如下郑重承诺：</w:t>
      </w:r>
    </w:p>
    <w:p>
      <w:pPr>
        <w:ind w:left="561" w:leftChars="267"/>
        <w:rPr>
          <w:rFonts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ascii="华文楷体" w:hAnsi="华文楷体" w:eastAsia="华文楷体" w:cs="华文楷体"/>
          <w:sz w:val="28"/>
        </w:rPr>
      </w:pPr>
      <w:r>
        <w:rPr>
          <w:rFonts w:hint="eastAsia" w:ascii="华文楷体" w:hAnsi="华文楷体" w:eastAsia="华文楷体" w:cs="华文楷体"/>
          <w:sz w:val="28"/>
        </w:rPr>
        <w:t>二、在投标过程中，决不以任何形式向</w:t>
      </w:r>
      <w:r>
        <w:rPr>
          <w:rFonts w:hint="eastAsia" w:ascii="华文楷体" w:hAnsi="华文楷体" w:eastAsia="华文楷体" w:cs="华文楷体"/>
          <w:sz w:val="28"/>
          <w:lang w:eastAsia="zh-CN"/>
        </w:rPr>
        <w:t>招标人</w:t>
      </w:r>
      <w:r>
        <w:rPr>
          <w:rFonts w:hint="eastAsia" w:ascii="华文楷体" w:hAnsi="华文楷体" w:eastAsia="华文楷体" w:cs="华文楷体"/>
          <w:sz w:val="28"/>
        </w:rPr>
        <w:t>及其有关人员和评标委员行贿,决不采取非法或不正当手段谋取中标。</w:t>
      </w:r>
    </w:p>
    <w:p>
      <w:pPr>
        <w:ind w:firstLine="560" w:firstLineChars="200"/>
        <w:rPr>
          <w:rFonts w:ascii="华文楷体" w:hAnsi="华文楷体" w:eastAsia="华文楷体" w:cs="华文楷体"/>
          <w:sz w:val="28"/>
        </w:rPr>
      </w:pPr>
      <w:r>
        <w:rPr>
          <w:rFonts w:hint="eastAsia" w:ascii="华文楷体" w:hAnsi="华文楷体" w:eastAsia="华文楷体" w:cs="华文楷体"/>
          <w:sz w:val="28"/>
        </w:rPr>
        <w:t>三、决不与其他</w:t>
      </w:r>
      <w:r>
        <w:rPr>
          <w:rFonts w:hint="eastAsia" w:ascii="华文楷体" w:hAnsi="华文楷体" w:eastAsia="华文楷体" w:cs="华文楷体"/>
          <w:sz w:val="28"/>
          <w:lang w:eastAsia="zh-CN"/>
        </w:rPr>
        <w:t>投标人</w:t>
      </w:r>
      <w:r>
        <w:rPr>
          <w:rFonts w:hint="eastAsia" w:ascii="华文楷体" w:hAnsi="华文楷体" w:eastAsia="华文楷体" w:cs="华文楷体"/>
          <w:sz w:val="28"/>
        </w:rPr>
        <w:t>相互串通报价，决不排挤其他</w:t>
      </w:r>
      <w:r>
        <w:rPr>
          <w:rFonts w:hint="eastAsia" w:ascii="华文楷体" w:hAnsi="华文楷体" w:eastAsia="华文楷体" w:cs="华文楷体"/>
          <w:sz w:val="28"/>
          <w:lang w:eastAsia="zh-CN"/>
        </w:rPr>
        <w:t>投标人</w:t>
      </w:r>
      <w:r>
        <w:rPr>
          <w:rFonts w:hint="eastAsia" w:ascii="华文楷体" w:hAnsi="华文楷体" w:eastAsia="华文楷体" w:cs="华文楷体"/>
          <w:sz w:val="28"/>
        </w:rPr>
        <w:t>的公平竞争，不损害</w:t>
      </w:r>
      <w:r>
        <w:rPr>
          <w:rFonts w:hint="eastAsia" w:ascii="华文楷体" w:hAnsi="华文楷体" w:eastAsia="华文楷体" w:cs="华文楷体"/>
          <w:sz w:val="28"/>
          <w:lang w:eastAsia="zh-CN"/>
        </w:rPr>
        <w:t>招标人</w:t>
      </w:r>
      <w:r>
        <w:rPr>
          <w:rFonts w:hint="eastAsia" w:ascii="华文楷体" w:hAnsi="华文楷体" w:eastAsia="华文楷体" w:cs="华文楷体"/>
          <w:sz w:val="28"/>
        </w:rPr>
        <w:t>或其他</w:t>
      </w:r>
      <w:r>
        <w:rPr>
          <w:rFonts w:hint="eastAsia" w:ascii="华文楷体" w:hAnsi="华文楷体" w:eastAsia="华文楷体" w:cs="华文楷体"/>
          <w:sz w:val="28"/>
          <w:lang w:eastAsia="zh-CN"/>
        </w:rPr>
        <w:t>投标人</w:t>
      </w:r>
      <w:r>
        <w:rPr>
          <w:rFonts w:hint="eastAsia" w:ascii="华文楷体" w:hAnsi="华文楷体" w:eastAsia="华文楷体" w:cs="华文楷体"/>
          <w:sz w:val="28"/>
        </w:rPr>
        <w:t>的合法权益。</w:t>
      </w:r>
    </w:p>
    <w:p>
      <w:pPr>
        <w:ind w:firstLine="560" w:firstLineChars="200"/>
        <w:rPr>
          <w:rFonts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五、决不在施标过程中偷工减料、降低标准、以次充好，违规投标。</w:t>
      </w:r>
    </w:p>
    <w:p>
      <w:pPr>
        <w:ind w:firstLine="560" w:firstLineChars="200"/>
        <w:rPr>
          <w:rFonts w:hint="eastAsia" w:ascii="华文楷体" w:hAnsi="华文楷体" w:eastAsia="华文楷体" w:cs="华文楷体"/>
          <w:sz w:val="28"/>
          <w:lang w:eastAsia="zh-CN"/>
        </w:rPr>
      </w:pPr>
      <w:r>
        <w:rPr>
          <w:rFonts w:hint="eastAsia" w:ascii="华文楷体" w:hAnsi="华文楷体" w:eastAsia="华文楷体" w:cs="华文楷体"/>
          <w:sz w:val="28"/>
          <w:lang w:eastAsia="zh-CN"/>
        </w:rPr>
        <w:t>六、已</w:t>
      </w:r>
      <w:r>
        <w:rPr>
          <w:rFonts w:hint="eastAsia" w:ascii="华文楷体" w:hAnsi="华文楷体" w:eastAsia="华文楷体" w:cs="华文楷体"/>
          <w:sz w:val="28"/>
          <w:szCs w:val="28"/>
          <w:lang w:val="en-US" w:eastAsia="zh-CN"/>
        </w:rPr>
        <w:t>至实地现场勘察或已了解标的物状况，不会以此为借口违约，也不会推责于投标人对标的物描述不准确而违约。</w:t>
      </w:r>
    </w:p>
    <w:p>
      <w:pPr>
        <w:ind w:firstLine="560" w:firstLineChars="200"/>
        <w:rPr>
          <w:rFonts w:ascii="华文楷体" w:hAnsi="华文楷体" w:eastAsia="华文楷体" w:cs="华文楷体"/>
          <w:sz w:val="28"/>
        </w:rPr>
      </w:pPr>
      <w:r>
        <w:rPr>
          <w:rFonts w:hint="eastAsia" w:ascii="华文楷体" w:hAnsi="华文楷体" w:eastAsia="华文楷体" w:cs="华文楷体"/>
          <w:sz w:val="28"/>
          <w:lang w:eastAsia="zh-CN"/>
        </w:rPr>
        <w:t>七</w:t>
      </w:r>
      <w:r>
        <w:rPr>
          <w:rFonts w:hint="eastAsia" w:ascii="华文楷体" w:hAnsi="华文楷体" w:eastAsia="华文楷体" w:cs="华文楷体"/>
          <w:sz w:val="28"/>
        </w:rPr>
        <w:t>、如</w:t>
      </w:r>
      <w:r>
        <w:rPr>
          <w:rFonts w:hint="eastAsia" w:ascii="华文楷体" w:hAnsi="华文楷体" w:eastAsia="华文楷体" w:cs="华文楷体"/>
          <w:spacing w:val="-3"/>
          <w:sz w:val="28"/>
        </w:rPr>
        <w:t>不能信守以上承诺中的任何一条，中标无效,退出项目，自愿承担由此引发的一切后果；给水仙药业（建瓯）股份有限公司造成损失的，依法、依规、依约承担赔偿责任，且今后不再参加水仙药业（建瓯）股份</w:t>
      </w:r>
      <w:r>
        <w:rPr>
          <w:rFonts w:hint="eastAsia" w:ascii="华文楷体" w:hAnsi="华文楷体" w:eastAsia="华文楷体" w:cs="华文楷体"/>
          <w:sz w:val="28"/>
        </w:rPr>
        <w:t>有限公司的任何招投标。</w:t>
      </w:r>
    </w:p>
    <w:p>
      <w:pPr>
        <w:ind w:firstLine="5040" w:firstLineChars="1800"/>
        <w:rPr>
          <w:rFonts w:hint="eastAsia" w:ascii="华文楷体" w:hAnsi="华文楷体" w:eastAsia="华文楷体" w:cs="华文楷体"/>
          <w:sz w:val="28"/>
        </w:rPr>
      </w:pPr>
    </w:p>
    <w:p>
      <w:pPr>
        <w:ind w:firstLine="5040" w:firstLineChars="1800"/>
        <w:rPr>
          <w:rFonts w:hint="eastAsia" w:ascii="华文楷体" w:hAnsi="华文楷体" w:eastAsia="华文楷体" w:cs="华文楷体"/>
          <w:sz w:val="28"/>
        </w:rPr>
      </w:pPr>
    </w:p>
    <w:p>
      <w:pPr>
        <w:ind w:firstLine="5040" w:firstLineChars="1800"/>
        <w:rPr>
          <w:rFonts w:ascii="华文楷体" w:hAnsi="华文楷体" w:eastAsia="华文楷体" w:cs="华文楷体"/>
          <w:sz w:val="28"/>
        </w:rPr>
      </w:pPr>
      <w:r>
        <w:rPr>
          <w:rFonts w:hint="eastAsia" w:ascii="华文楷体" w:hAnsi="华文楷体" w:eastAsia="华文楷体" w:cs="华文楷体"/>
          <w:sz w:val="28"/>
        </w:rPr>
        <w:t>承诺人： (签字盖章)</w:t>
      </w:r>
    </w:p>
    <w:p>
      <w:pPr>
        <w:ind w:firstLine="6720" w:firstLineChars="2400"/>
        <w:rPr>
          <w:rFonts w:ascii="华文楷体" w:hAnsi="华文楷体" w:eastAsia="华文楷体" w:cs="华文楷体"/>
          <w:sz w:val="28"/>
        </w:rPr>
      </w:pPr>
      <w:r>
        <w:rPr>
          <w:rFonts w:hint="eastAsia" w:ascii="华文楷体" w:hAnsi="华文楷体" w:eastAsia="华文楷体" w:cs="华文楷体"/>
          <w:sz w:val="28"/>
        </w:rPr>
        <w:t>年   月   日</w:t>
      </w:r>
    </w:p>
    <w:p>
      <w:pPr>
        <w:tabs>
          <w:tab w:val="left" w:pos="3684"/>
          <w:tab w:val="center" w:pos="4725"/>
        </w:tabs>
        <w:jc w:val="center"/>
        <w:rPr>
          <w:rFonts w:ascii="楷体_GB2312" w:eastAsia="楷体_GB2312"/>
          <w:b/>
          <w:bCs/>
          <w:sz w:val="48"/>
        </w:rPr>
      </w:pPr>
      <w:r>
        <w:rPr>
          <w:rFonts w:ascii="楷体_GB2312" w:eastAsia="楷体_GB2312"/>
          <w:b/>
          <w:bCs/>
          <w:sz w:val="48"/>
        </w:rPr>
        <w:br w:type="page"/>
      </w:r>
      <w:r>
        <w:rPr>
          <w:rFonts w:hint="eastAsia" w:ascii="楷体_GB2312" w:eastAsia="楷体_GB2312"/>
          <w:b/>
          <w:bCs/>
          <w:sz w:val="48"/>
        </w:rPr>
        <w:t>投标报价单</w:t>
      </w:r>
    </w:p>
    <w:p>
      <w:pPr>
        <w:tabs>
          <w:tab w:val="left" w:pos="3684"/>
          <w:tab w:val="center" w:pos="4725"/>
        </w:tabs>
        <w:jc w:val="center"/>
        <w:rPr>
          <w:rFonts w:ascii="楷体_GB2312" w:eastAsia="楷体_GB2312"/>
          <w:b/>
          <w:bCs/>
          <w:sz w:val="48"/>
        </w:rPr>
      </w:pPr>
    </w:p>
    <w:p>
      <w:pPr>
        <w:ind w:left="420"/>
        <w:rPr>
          <w:rFonts w:ascii="楷体_GB2312" w:eastAsia="楷体_GB2312"/>
          <w:b/>
          <w:bCs/>
          <w:sz w:val="10"/>
          <w:szCs w:val="10"/>
        </w:rPr>
      </w:pPr>
    </w:p>
    <w:p>
      <w:pPr>
        <w:numPr>
          <w:ilvl w:val="0"/>
          <w:numId w:val="3"/>
        </w:numPr>
        <w:rPr>
          <w:rFonts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ascii="楷体_GB2312" w:eastAsia="楷体_GB2312"/>
          <w:sz w:val="28"/>
          <w:szCs w:val="28"/>
        </w:rPr>
      </w:pPr>
      <w:r>
        <w:rPr>
          <w:rFonts w:hint="eastAsia" w:ascii="楷体_GB2312" w:eastAsia="楷体_GB2312"/>
          <w:sz w:val="28"/>
          <w:szCs w:val="28"/>
        </w:rPr>
        <w:t>6、备注说明：</w:t>
      </w:r>
    </w:p>
    <w:p>
      <w:pPr>
        <w:spacing w:line="500" w:lineRule="exact"/>
        <w:rPr>
          <w:rFonts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ascii="华文楷体" w:hAnsi="华文楷体" w:eastAsia="华文楷体" w:cs="华文楷体"/>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ascii="楷体_GB2312" w:eastAsia="楷体_GB2312"/>
          <w:bCs/>
          <w:sz w:val="28"/>
          <w:szCs w:val="28"/>
        </w:rPr>
      </w:pPr>
      <w:r>
        <w:rPr>
          <w:rFonts w:hint="eastAsia" w:ascii="楷体_GB2312" w:eastAsia="楷体_GB2312"/>
          <w:bCs/>
          <w:sz w:val="28"/>
          <w:szCs w:val="28"/>
        </w:rPr>
        <w:t>（</w:t>
      </w:r>
      <w:r>
        <w:rPr>
          <w:rFonts w:ascii="楷体_GB2312" w:eastAsia="楷体_GB2312"/>
          <w:bCs/>
          <w:sz w:val="28"/>
          <w:szCs w:val="28"/>
        </w:rPr>
        <w:t>4</w:t>
      </w:r>
      <w:r>
        <w:rPr>
          <w:rFonts w:hint="eastAsia" w:ascii="楷体_GB2312" w:eastAsia="楷体_GB2312"/>
          <w:bCs/>
          <w:sz w:val="28"/>
          <w:szCs w:val="28"/>
        </w:rPr>
        <w:t>）、参与报价的</w:t>
      </w:r>
      <w:r>
        <w:rPr>
          <w:rFonts w:hint="eastAsia" w:ascii="楷体_GB2312" w:eastAsia="楷体_GB2312"/>
          <w:bCs/>
          <w:sz w:val="28"/>
          <w:szCs w:val="28"/>
          <w:lang w:eastAsia="zh-CN"/>
        </w:rPr>
        <w:t>投标人</w:t>
      </w:r>
      <w:r>
        <w:rPr>
          <w:rFonts w:hint="eastAsia" w:ascii="楷体_GB2312" w:eastAsia="楷体_GB2312"/>
          <w:bCs/>
          <w:sz w:val="28"/>
          <w:szCs w:val="28"/>
        </w:rPr>
        <w:t>视为已在投标前全面了解本次招标的文件规定。</w:t>
      </w:r>
    </w:p>
    <w:p>
      <w:pPr>
        <w:adjustRightInd w:val="0"/>
        <w:snapToGrid w:val="0"/>
        <w:spacing w:line="480" w:lineRule="exact"/>
        <w:jc w:val="left"/>
        <w:rPr>
          <w:rFonts w:ascii="楷体_GB2312" w:eastAsia="楷体_GB2312"/>
          <w:b/>
          <w:bCs/>
          <w:sz w:val="28"/>
          <w:szCs w:val="28"/>
        </w:rPr>
      </w:pPr>
      <w:r>
        <w:rPr>
          <w:rFonts w:hint="eastAsia" w:ascii="楷体_GB2312" w:eastAsia="楷体_GB2312"/>
          <w:bCs/>
          <w:sz w:val="28"/>
          <w:szCs w:val="28"/>
        </w:rPr>
        <w:t>（</w:t>
      </w:r>
      <w:r>
        <w:rPr>
          <w:rFonts w:ascii="楷体_GB2312" w:eastAsia="楷体_GB2312"/>
          <w:bCs/>
          <w:sz w:val="28"/>
          <w:szCs w:val="28"/>
        </w:rPr>
        <w:t>5</w:t>
      </w:r>
      <w:r>
        <w:rPr>
          <w:rFonts w:hint="eastAsia" w:ascii="楷体_GB2312" w:eastAsia="楷体_GB2312"/>
          <w:bCs/>
          <w:sz w:val="28"/>
          <w:szCs w:val="28"/>
        </w:rPr>
        <w:t>）、报价中涉及的付款方式为转账或承兑中选择其中壹种或全选。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ascii="楷体_GB2312" w:eastAsia="楷体_GB2312"/>
          <w:b/>
          <w:bCs/>
          <w:sz w:val="28"/>
          <w:szCs w:val="28"/>
        </w:rPr>
      </w:pPr>
      <w:r>
        <w:rPr>
          <w:rFonts w:hint="eastAsia" w:ascii="楷体_GB2312" w:eastAsia="楷体_GB2312"/>
          <w:bCs/>
          <w:sz w:val="28"/>
          <w:szCs w:val="28"/>
        </w:rPr>
        <w:t>（</w:t>
      </w:r>
      <w:r>
        <w:rPr>
          <w:rFonts w:ascii="楷体_GB2312" w:eastAsia="楷体_GB2312"/>
          <w:bCs/>
          <w:sz w:val="28"/>
          <w:szCs w:val="28"/>
        </w:rPr>
        <w:t>6</w:t>
      </w:r>
      <w:r>
        <w:rPr>
          <w:rFonts w:hint="eastAsia" w:ascii="楷体_GB2312" w:eastAsia="楷体_GB2312"/>
          <w:bCs/>
          <w:sz w:val="28"/>
          <w:szCs w:val="28"/>
        </w:rPr>
        <w:t>）、其他事项经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p>
      <w:pPr>
        <w:adjustRightInd w:val="0"/>
        <w:snapToGrid w:val="0"/>
        <w:spacing w:line="480" w:lineRule="exact"/>
        <w:jc w:val="left"/>
        <w:rPr>
          <w:rFonts w:ascii="楷体_GB2312" w:eastAsia="楷体_GB2312"/>
          <w:bCs/>
          <w:sz w:val="28"/>
          <w:szCs w:val="28"/>
        </w:rPr>
      </w:pPr>
      <w:r>
        <w:rPr>
          <w:rFonts w:hint="eastAsia" w:ascii="楷体_GB2312" w:eastAsia="楷体_GB2312"/>
          <w:bCs/>
          <w:sz w:val="28"/>
          <w:szCs w:val="28"/>
        </w:rPr>
        <w:t>（</w:t>
      </w:r>
      <w:r>
        <w:rPr>
          <w:rFonts w:ascii="楷体_GB2312" w:eastAsia="楷体_GB2312"/>
          <w:bCs/>
          <w:sz w:val="28"/>
          <w:szCs w:val="28"/>
        </w:rPr>
        <w:t>7</w:t>
      </w:r>
      <w:r>
        <w:rPr>
          <w:rFonts w:hint="eastAsia" w:ascii="楷体_GB2312" w:eastAsia="楷体_GB2312"/>
          <w:bCs/>
          <w:sz w:val="28"/>
          <w:szCs w:val="28"/>
        </w:rPr>
        <w:t>）、</w:t>
      </w:r>
      <w:r>
        <w:rPr>
          <w:rFonts w:ascii="楷体_GB2312" w:eastAsia="楷体_GB2312"/>
          <w:bCs/>
          <w:sz w:val="28"/>
          <w:szCs w:val="28"/>
        </w:rPr>
        <w:t>报价</w:t>
      </w:r>
      <w:r>
        <w:rPr>
          <w:rFonts w:hint="eastAsia" w:ascii="楷体_GB2312" w:eastAsia="楷体_GB2312"/>
          <w:bCs/>
          <w:sz w:val="28"/>
          <w:szCs w:val="28"/>
        </w:rPr>
        <w:t>中</w:t>
      </w:r>
      <w:r>
        <w:rPr>
          <w:rFonts w:ascii="楷体_GB2312" w:eastAsia="楷体_GB2312"/>
          <w:bCs/>
          <w:sz w:val="28"/>
          <w:szCs w:val="28"/>
        </w:rPr>
        <w:t>的</w:t>
      </w:r>
      <w:r>
        <w:rPr>
          <w:rFonts w:hint="eastAsia" w:ascii="楷体_GB2312" w:eastAsia="楷体_GB2312"/>
          <w:bCs/>
          <w:sz w:val="28"/>
          <w:szCs w:val="28"/>
        </w:rPr>
        <w:t>分项</w:t>
      </w:r>
      <w:r>
        <w:rPr>
          <w:rFonts w:ascii="楷体_GB2312" w:eastAsia="楷体_GB2312"/>
          <w:bCs/>
          <w:sz w:val="28"/>
          <w:szCs w:val="28"/>
        </w:rPr>
        <w:t>报价</w:t>
      </w:r>
      <w:r>
        <w:rPr>
          <w:rFonts w:hint="eastAsia" w:ascii="楷体_GB2312" w:eastAsia="楷体_GB2312"/>
          <w:bCs/>
          <w:sz w:val="28"/>
          <w:szCs w:val="28"/>
        </w:rPr>
        <w:t>应</w:t>
      </w:r>
      <w:r>
        <w:rPr>
          <w:rFonts w:ascii="楷体_GB2312" w:eastAsia="楷体_GB2312"/>
          <w:bCs/>
          <w:sz w:val="28"/>
          <w:szCs w:val="28"/>
        </w:rPr>
        <w:t>至少包含</w:t>
      </w:r>
      <w:r>
        <w:rPr>
          <w:rFonts w:hint="eastAsia" w:ascii="楷体_GB2312" w:eastAsia="楷体_GB2312"/>
          <w:bCs/>
          <w:sz w:val="28"/>
          <w:szCs w:val="28"/>
        </w:rPr>
        <w:t>第2条款</w:t>
      </w:r>
      <w:r>
        <w:rPr>
          <w:rFonts w:ascii="楷体_GB2312" w:eastAsia="楷体_GB2312"/>
          <w:bCs/>
          <w:sz w:val="28"/>
          <w:szCs w:val="28"/>
        </w:rPr>
        <w:t>所列主要设备</w:t>
      </w:r>
      <w:r>
        <w:rPr>
          <w:rFonts w:hint="eastAsia" w:ascii="楷体_GB2312" w:eastAsia="楷体_GB2312"/>
          <w:bCs/>
          <w:sz w:val="28"/>
          <w:szCs w:val="28"/>
        </w:rPr>
        <w:t>，</w:t>
      </w:r>
      <w:r>
        <w:rPr>
          <w:rFonts w:hint="eastAsia" w:ascii="楷体_GB2312" w:eastAsia="楷体_GB2312"/>
          <w:bCs/>
          <w:sz w:val="28"/>
          <w:szCs w:val="28"/>
          <w:lang w:eastAsia="zh-CN"/>
        </w:rPr>
        <w:t>投标人</w:t>
      </w:r>
      <w:r>
        <w:rPr>
          <w:rFonts w:ascii="楷体_GB2312" w:eastAsia="楷体_GB2312"/>
          <w:bCs/>
          <w:sz w:val="28"/>
          <w:szCs w:val="28"/>
        </w:rPr>
        <w:t>可根据实际情况进行增补。</w:t>
      </w:r>
    </w:p>
    <w:p>
      <w:pPr>
        <w:adjustRightInd w:val="0"/>
        <w:snapToGrid w:val="0"/>
        <w:spacing w:line="480" w:lineRule="exact"/>
        <w:jc w:val="left"/>
        <w:rPr>
          <w:rFonts w:ascii="楷体_GB2312" w:eastAsia="楷体_GB2312"/>
          <w:b/>
          <w:bCs/>
          <w:sz w:val="28"/>
          <w:szCs w:val="28"/>
        </w:rPr>
      </w:pPr>
    </w:p>
    <w:p>
      <w:pPr>
        <w:widowControl/>
        <w:jc w:val="left"/>
        <w:rPr>
          <w:rFonts w:ascii="楷体_GB2312" w:eastAsia="楷体_GB2312"/>
          <w:b/>
          <w:bCs/>
          <w:sz w:val="28"/>
          <w:szCs w:val="28"/>
        </w:rPr>
      </w:pPr>
      <w:r>
        <w:rPr>
          <w:rFonts w:ascii="楷体_GB2312" w:eastAsia="楷体_GB2312"/>
          <w:b/>
          <w:bCs/>
          <w:sz w:val="28"/>
          <w:szCs w:val="28"/>
        </w:rPr>
        <w:br w:type="page"/>
      </w:r>
    </w:p>
    <w:p>
      <w:pPr>
        <w:adjustRightInd w:val="0"/>
        <w:snapToGrid w:val="0"/>
        <w:spacing w:line="480" w:lineRule="exact"/>
        <w:jc w:val="left"/>
        <w:rPr>
          <w:rFonts w:ascii="楷体_GB2312" w:eastAsia="楷体_GB2312"/>
          <w:b/>
          <w:bCs/>
          <w:sz w:val="28"/>
          <w:szCs w:val="28"/>
        </w:rPr>
      </w:pPr>
    </w:p>
    <w:tbl>
      <w:tblPr>
        <w:tblStyle w:val="14"/>
        <w:tblpPr w:leftFromText="180" w:rightFromText="180" w:vertAnchor="text" w:horzAnchor="margin" w:tblpX="15" w:tblpY="333"/>
        <w:tblOverlap w:val="never"/>
        <w:tblW w:w="0" w:type="auto"/>
        <w:tblInd w:w="0" w:type="dxa"/>
        <w:tblLayout w:type="fixed"/>
        <w:tblCellMar>
          <w:top w:w="15" w:type="dxa"/>
          <w:left w:w="15" w:type="dxa"/>
          <w:bottom w:w="15" w:type="dxa"/>
          <w:right w:w="15" w:type="dxa"/>
        </w:tblCellMar>
      </w:tblPr>
      <w:tblGrid>
        <w:gridCol w:w="1838"/>
        <w:gridCol w:w="2383"/>
        <w:gridCol w:w="1167"/>
        <w:gridCol w:w="1350"/>
        <w:gridCol w:w="1617"/>
        <w:gridCol w:w="1283"/>
      </w:tblGrid>
      <w:tr>
        <w:tblPrEx>
          <w:tblCellMar>
            <w:top w:w="15" w:type="dxa"/>
            <w:left w:w="15" w:type="dxa"/>
            <w:bottom w:w="15" w:type="dxa"/>
            <w:right w:w="15" w:type="dxa"/>
          </w:tblCellMar>
        </w:tblPrEx>
        <w:trPr>
          <w:trHeight w:val="39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名 称</w:t>
            </w: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技术规格及说明</w:t>
            </w: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数量</w:t>
            </w: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含税单价</w:t>
            </w: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ind w:firstLine="280" w:firstLineChars="100"/>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金额</w:t>
            </w: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付款方式</w:t>
            </w: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8"/>
                <w:szCs w:val="28"/>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sz w:val="28"/>
                <w:szCs w:val="28"/>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sz w:val="28"/>
                <w:szCs w:val="28"/>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4"/>
                <w:szCs w:val="24"/>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570" w:hRule="atLeast"/>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宋体" w:hAnsi="宋体"/>
                <w:color w:val="000000"/>
                <w:sz w:val="24"/>
                <w:szCs w:val="24"/>
              </w:rPr>
            </w:pPr>
            <w:r>
              <w:rPr>
                <w:rFonts w:hint="eastAsia" w:ascii="宋体" w:hAnsi="宋体"/>
                <w:color w:val="000000"/>
                <w:sz w:val="24"/>
                <w:szCs w:val="24"/>
              </w:rPr>
              <w:t>合计</w:t>
            </w:r>
          </w:p>
        </w:tc>
        <w:tc>
          <w:tcPr>
            <w:tcW w:w="238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left"/>
              <w:textAlignment w:val="center"/>
              <w:rPr>
                <w:rFonts w:ascii="宋体" w:hAnsi="宋体"/>
                <w:color w:val="000000"/>
                <w:sz w:val="24"/>
                <w:szCs w:val="24"/>
              </w:rPr>
            </w:pPr>
          </w:p>
        </w:tc>
        <w:tc>
          <w:tcPr>
            <w:tcW w:w="1167"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8"/>
                <w:szCs w:val="28"/>
                <w:lang w:bidi="ar"/>
              </w:rPr>
            </w:pPr>
          </w:p>
        </w:tc>
        <w:tc>
          <w:tcPr>
            <w:tcW w:w="1350"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617"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c>
          <w:tcPr>
            <w:tcW w:w="1283" w:type="dxa"/>
            <w:tcBorders>
              <w:top w:val="single" w:color="000000" w:sz="4" w:space="0"/>
              <w:left w:val="single" w:color="auto" w:sz="4" w:space="0"/>
              <w:bottom w:val="single" w:color="000000" w:sz="4" w:space="0"/>
              <w:right w:val="single" w:color="000000" w:sz="4" w:space="0"/>
            </w:tcBorders>
            <w:vAlign w:val="center"/>
          </w:tcPr>
          <w:p>
            <w:pPr>
              <w:widowControl/>
              <w:spacing w:line="480" w:lineRule="exact"/>
              <w:jc w:val="left"/>
              <w:textAlignment w:val="center"/>
              <w:rPr>
                <w:rFonts w:ascii="宋体" w:hAnsi="宋体" w:cs="宋体"/>
                <w:color w:val="000000"/>
                <w:kern w:val="0"/>
                <w:sz w:val="24"/>
                <w:szCs w:val="24"/>
                <w:lang w:bidi="ar"/>
              </w:rPr>
            </w:pPr>
          </w:p>
        </w:tc>
      </w:tr>
    </w:tbl>
    <w:p>
      <w:pPr>
        <w:rPr>
          <w:rFonts w:ascii="楷体_GB2312" w:hAnsi="宋体" w:eastAsia="楷体_GB2312"/>
          <w:bCs/>
          <w:sz w:val="28"/>
          <w:szCs w:val="28"/>
        </w:rPr>
      </w:pPr>
      <w:r>
        <w:rPr>
          <w:rFonts w:hint="eastAsia" w:ascii="楷体_GB2312" w:hAnsi="宋体" w:eastAsia="楷体_GB2312"/>
          <w:bCs/>
          <w:sz w:val="28"/>
          <w:szCs w:val="28"/>
        </w:rPr>
        <w:t>报价人：（签字盖章）                                 年   月   日</w:t>
      </w:r>
    </w:p>
    <w:p>
      <w:pPr>
        <w:widowControl/>
        <w:jc w:val="left"/>
        <w:rPr>
          <w:rFonts w:ascii="楷体_GB2312" w:hAnsi="宋体" w:eastAsia="楷体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1051560</wp:posOffset>
                </wp:positionH>
                <wp:positionV relativeFrom="paragraph">
                  <wp:posOffset>868680</wp:posOffset>
                </wp:positionV>
                <wp:extent cx="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2.8pt;margin-top:68.4pt;height:0pt;width:0pt;z-index:251660288;mso-width-relative:page;mso-height-relative:page;" filled="f" stroked="t" coordsize="21600,21600" o:gfxdata="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Rz+7LTAAAACwEAAA8AAAAAAAAAAQAgAAAAIgAAAGRycy9kb3ducmV2LnhtbFBLAQIU&#10;ABQAAAAIAIdO4kBOpXWNvwEAAF0DAAAOAAAAAAAAAAEAIAAAACIBAABkcnMvZTJvRG9jLnhtbFBL&#10;BQYAAAAABgAGAFkBAABTBQAAAAA=&#10;">
                <v:fill on="f" focussize="0,0"/>
                <v:stroke weight="0.5pt" color="#000000 [3200]" miterlimit="8" joinstyle="miter"/>
                <v:imagedata o:title=""/>
                <o:lock v:ext="edit" aspectratio="f"/>
              </v:line>
            </w:pict>
          </mc:Fallback>
        </mc:AlternateContent>
      </w:r>
    </w:p>
    <w:sectPr>
      <w:headerReference r:id="rId3" w:type="default"/>
      <w:footerReference r:id="rId4" w:type="default"/>
      <w:footerReference r:id="rId5" w:type="even"/>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fldChar w:fldCharType="begin"/>
    </w:r>
    <w:r>
      <w:rPr>
        <w:rStyle w:val="16"/>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ascii="宋体" w:hAnsi="宋体" w:cs="Arial"/>
        <w:b/>
        <w:sz w:val="28"/>
        <w:szCs w:val="28"/>
      </w:rPr>
    </w:pPr>
    <w:r>
      <w:rPr>
        <w:rFonts w:hint="eastAsia" w:ascii="仿宋_GB2312" w:hAnsi="宋体" w:eastAsia="仿宋_GB2312" w:cs="宋体"/>
        <w:b/>
        <w:sz w:val="28"/>
        <w:szCs w:val="28"/>
      </w:rPr>
      <w:t xml:space="preserve">   </w:t>
    </w:r>
  </w:p>
  <w:p>
    <w:pPr>
      <w:tabs>
        <w:tab w:val="left" w:pos="5235"/>
      </w:tabs>
      <w:snapToGrid w:val="0"/>
      <w:spacing w:line="300" w:lineRule="auto"/>
      <w:ind w:firstLine="4359" w:firstLineChars="1809"/>
      <w:jc w:val="left"/>
      <w:rPr>
        <w:rFonts w:ascii="仿宋_GB2312" w:eastAsia="仿宋_GB2312"/>
      </w:rPr>
    </w:pPr>
    <w:r>
      <w:rPr>
        <w:rFonts w:ascii="Arial" w:hAnsi="Arial" w:cs="Arial"/>
        <w:b/>
        <w:sz w:val="24"/>
        <w:szCs w:val="24"/>
      </w:rPr>
      <w:t xml:space="preserve">   </w:t>
    </w:r>
    <w:r>
      <w:rPr>
        <w:rFonts w:ascii="Arial" w:hAnsi="Arial" w:cs="Arial"/>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1336E"/>
    <w:multiLevelType w:val="singleLevel"/>
    <w:tmpl w:val="AF31336E"/>
    <w:lvl w:ilvl="0" w:tentative="0">
      <w:start w:val="1"/>
      <w:numFmt w:val="decimal"/>
      <w:suff w:val="nothing"/>
      <w:lvlText w:val="%1、"/>
      <w:lvlJc w:val="left"/>
    </w:lvl>
  </w:abstractNum>
  <w:abstractNum w:abstractNumId="1">
    <w:nsid w:val="D4646064"/>
    <w:multiLevelType w:val="singleLevel"/>
    <w:tmpl w:val="D4646064"/>
    <w:lvl w:ilvl="0" w:tentative="0">
      <w:start w:val="10"/>
      <w:numFmt w:val="decimal"/>
      <w:lvlText w:val="%1."/>
      <w:lvlJc w:val="left"/>
      <w:pPr>
        <w:tabs>
          <w:tab w:val="left" w:pos="312"/>
        </w:tabs>
      </w:pPr>
    </w:lvl>
  </w:abstractNum>
  <w:abstractNum w:abstractNumId="2">
    <w:nsid w:val="2F854E9C"/>
    <w:multiLevelType w:val="singleLevel"/>
    <w:tmpl w:val="2F854E9C"/>
    <w:lvl w:ilvl="0" w:tentative="0">
      <w:start w:val="1"/>
      <w:numFmt w:val="decimal"/>
      <w:pStyle w:val="5"/>
      <w:lvlText w:val="%1."/>
      <w:lvlJc w:val="left"/>
      <w:pPr>
        <w:tabs>
          <w:tab w:val="left" w:pos="425"/>
        </w:tabs>
        <w:ind w:left="425" w:hanging="42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520B"/>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86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E3EAB"/>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6059"/>
    <w:rsid w:val="001715C9"/>
    <w:rsid w:val="0018560B"/>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676B"/>
    <w:rsid w:val="001E7E9A"/>
    <w:rsid w:val="001F0B9E"/>
    <w:rsid w:val="001F105F"/>
    <w:rsid w:val="001F14A3"/>
    <w:rsid w:val="001F16DA"/>
    <w:rsid w:val="001F19A5"/>
    <w:rsid w:val="001F6D9C"/>
    <w:rsid w:val="001F7643"/>
    <w:rsid w:val="00202BAC"/>
    <w:rsid w:val="0020560A"/>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4A36"/>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40A8"/>
    <w:rsid w:val="002957B0"/>
    <w:rsid w:val="00295B8C"/>
    <w:rsid w:val="00296978"/>
    <w:rsid w:val="002A02C9"/>
    <w:rsid w:val="002A1FB5"/>
    <w:rsid w:val="002A2171"/>
    <w:rsid w:val="002A25BA"/>
    <w:rsid w:val="002A3EC1"/>
    <w:rsid w:val="002A539E"/>
    <w:rsid w:val="002A5498"/>
    <w:rsid w:val="002A6172"/>
    <w:rsid w:val="002A6822"/>
    <w:rsid w:val="002B0EDB"/>
    <w:rsid w:val="002B3126"/>
    <w:rsid w:val="002B3B72"/>
    <w:rsid w:val="002B416C"/>
    <w:rsid w:val="002B6228"/>
    <w:rsid w:val="002B670C"/>
    <w:rsid w:val="002B7850"/>
    <w:rsid w:val="002C0420"/>
    <w:rsid w:val="002C0869"/>
    <w:rsid w:val="002C0EF3"/>
    <w:rsid w:val="002C1CD7"/>
    <w:rsid w:val="002C2405"/>
    <w:rsid w:val="002C2C2D"/>
    <w:rsid w:val="002C4E2F"/>
    <w:rsid w:val="002D2C62"/>
    <w:rsid w:val="002D5B5F"/>
    <w:rsid w:val="002E4474"/>
    <w:rsid w:val="002E7785"/>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229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D71DC"/>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1254"/>
    <w:rsid w:val="004922C9"/>
    <w:rsid w:val="00494BC1"/>
    <w:rsid w:val="00496251"/>
    <w:rsid w:val="004A03F0"/>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B673D"/>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5A06"/>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C99"/>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31E3"/>
    <w:rsid w:val="0069682E"/>
    <w:rsid w:val="006A1ABD"/>
    <w:rsid w:val="006A1E62"/>
    <w:rsid w:val="006A20E9"/>
    <w:rsid w:val="006A37BD"/>
    <w:rsid w:val="006A3E54"/>
    <w:rsid w:val="006A789A"/>
    <w:rsid w:val="006B1964"/>
    <w:rsid w:val="006B2E73"/>
    <w:rsid w:val="006B46E6"/>
    <w:rsid w:val="006B4EA6"/>
    <w:rsid w:val="006B512D"/>
    <w:rsid w:val="006B54BA"/>
    <w:rsid w:val="006C2385"/>
    <w:rsid w:val="006C2AAC"/>
    <w:rsid w:val="006C3F0C"/>
    <w:rsid w:val="006C4F9E"/>
    <w:rsid w:val="006C54FF"/>
    <w:rsid w:val="006C5767"/>
    <w:rsid w:val="006C5F18"/>
    <w:rsid w:val="006C6229"/>
    <w:rsid w:val="006C6628"/>
    <w:rsid w:val="006D5028"/>
    <w:rsid w:val="006D5906"/>
    <w:rsid w:val="006D6079"/>
    <w:rsid w:val="006D6694"/>
    <w:rsid w:val="006D794F"/>
    <w:rsid w:val="006E1BFE"/>
    <w:rsid w:val="006E214E"/>
    <w:rsid w:val="006E2B9A"/>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16755"/>
    <w:rsid w:val="0072179F"/>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2DB7"/>
    <w:rsid w:val="007933F4"/>
    <w:rsid w:val="007A0011"/>
    <w:rsid w:val="007A0105"/>
    <w:rsid w:val="007A22BB"/>
    <w:rsid w:val="007A3FAB"/>
    <w:rsid w:val="007A4513"/>
    <w:rsid w:val="007A6817"/>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9C6"/>
    <w:rsid w:val="00821E8B"/>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6715E"/>
    <w:rsid w:val="008761E2"/>
    <w:rsid w:val="008829A4"/>
    <w:rsid w:val="00883176"/>
    <w:rsid w:val="00884BA2"/>
    <w:rsid w:val="0088551A"/>
    <w:rsid w:val="0088662F"/>
    <w:rsid w:val="008870D7"/>
    <w:rsid w:val="008904FA"/>
    <w:rsid w:val="008905E5"/>
    <w:rsid w:val="008929B8"/>
    <w:rsid w:val="00893203"/>
    <w:rsid w:val="008A0AE2"/>
    <w:rsid w:val="008A0B23"/>
    <w:rsid w:val="008A1498"/>
    <w:rsid w:val="008A21DC"/>
    <w:rsid w:val="008A24CA"/>
    <w:rsid w:val="008A26FD"/>
    <w:rsid w:val="008A3B20"/>
    <w:rsid w:val="008A45C1"/>
    <w:rsid w:val="008B1E62"/>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2D6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1A72"/>
    <w:rsid w:val="009A3AC3"/>
    <w:rsid w:val="009A3D7E"/>
    <w:rsid w:val="009A522E"/>
    <w:rsid w:val="009A7D01"/>
    <w:rsid w:val="009B0BAF"/>
    <w:rsid w:val="009B2906"/>
    <w:rsid w:val="009B53FF"/>
    <w:rsid w:val="009B6C2F"/>
    <w:rsid w:val="009B778E"/>
    <w:rsid w:val="009B7865"/>
    <w:rsid w:val="009C3535"/>
    <w:rsid w:val="009C4E03"/>
    <w:rsid w:val="009D01FD"/>
    <w:rsid w:val="009D1806"/>
    <w:rsid w:val="009D2229"/>
    <w:rsid w:val="009D6B61"/>
    <w:rsid w:val="009D7869"/>
    <w:rsid w:val="009E0776"/>
    <w:rsid w:val="009F48E8"/>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11BC"/>
    <w:rsid w:val="00B429CC"/>
    <w:rsid w:val="00B5046F"/>
    <w:rsid w:val="00B504A6"/>
    <w:rsid w:val="00B523FF"/>
    <w:rsid w:val="00B53FAF"/>
    <w:rsid w:val="00B55A6D"/>
    <w:rsid w:val="00B573C7"/>
    <w:rsid w:val="00B60AB0"/>
    <w:rsid w:val="00B619D8"/>
    <w:rsid w:val="00B63E98"/>
    <w:rsid w:val="00B64109"/>
    <w:rsid w:val="00B64E51"/>
    <w:rsid w:val="00B65679"/>
    <w:rsid w:val="00B66BA5"/>
    <w:rsid w:val="00B71E9C"/>
    <w:rsid w:val="00B72BB6"/>
    <w:rsid w:val="00B730E4"/>
    <w:rsid w:val="00B819D6"/>
    <w:rsid w:val="00B86450"/>
    <w:rsid w:val="00B86CF8"/>
    <w:rsid w:val="00B879D1"/>
    <w:rsid w:val="00B87AEE"/>
    <w:rsid w:val="00B90234"/>
    <w:rsid w:val="00B9032C"/>
    <w:rsid w:val="00B9322E"/>
    <w:rsid w:val="00B97EF5"/>
    <w:rsid w:val="00BA0313"/>
    <w:rsid w:val="00BA756C"/>
    <w:rsid w:val="00BA7C2D"/>
    <w:rsid w:val="00BB0750"/>
    <w:rsid w:val="00BB0E40"/>
    <w:rsid w:val="00BB29A9"/>
    <w:rsid w:val="00BB52CD"/>
    <w:rsid w:val="00BB5ECA"/>
    <w:rsid w:val="00BB67C1"/>
    <w:rsid w:val="00BC127E"/>
    <w:rsid w:val="00BC15DE"/>
    <w:rsid w:val="00BC4425"/>
    <w:rsid w:val="00BC75A8"/>
    <w:rsid w:val="00BD164F"/>
    <w:rsid w:val="00BD4978"/>
    <w:rsid w:val="00BD5C96"/>
    <w:rsid w:val="00BD6324"/>
    <w:rsid w:val="00BD7A8A"/>
    <w:rsid w:val="00BE5854"/>
    <w:rsid w:val="00BE5FA1"/>
    <w:rsid w:val="00BE6402"/>
    <w:rsid w:val="00BE714C"/>
    <w:rsid w:val="00BF7AB2"/>
    <w:rsid w:val="00BF7D47"/>
    <w:rsid w:val="00C00C2B"/>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496B"/>
    <w:rsid w:val="00C66E2E"/>
    <w:rsid w:val="00C72CA9"/>
    <w:rsid w:val="00C72E9D"/>
    <w:rsid w:val="00C73CAB"/>
    <w:rsid w:val="00C76B7F"/>
    <w:rsid w:val="00C76C07"/>
    <w:rsid w:val="00C822B8"/>
    <w:rsid w:val="00C823E8"/>
    <w:rsid w:val="00C83E3E"/>
    <w:rsid w:val="00C85A8F"/>
    <w:rsid w:val="00C85F6E"/>
    <w:rsid w:val="00C8693E"/>
    <w:rsid w:val="00C86B9B"/>
    <w:rsid w:val="00C87237"/>
    <w:rsid w:val="00C87706"/>
    <w:rsid w:val="00C94A68"/>
    <w:rsid w:val="00C955A3"/>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857"/>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57F5"/>
    <w:rsid w:val="00D36907"/>
    <w:rsid w:val="00D41B22"/>
    <w:rsid w:val="00D44DA2"/>
    <w:rsid w:val="00D4625D"/>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07B0"/>
    <w:rsid w:val="00E5225E"/>
    <w:rsid w:val="00E54487"/>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0347"/>
    <w:rsid w:val="00EA4762"/>
    <w:rsid w:val="00EA4AAA"/>
    <w:rsid w:val="00EA4FEB"/>
    <w:rsid w:val="00EB1DC3"/>
    <w:rsid w:val="00EB2090"/>
    <w:rsid w:val="00EB5041"/>
    <w:rsid w:val="00EB54CE"/>
    <w:rsid w:val="00EB66F5"/>
    <w:rsid w:val="00EC1E41"/>
    <w:rsid w:val="00EC3448"/>
    <w:rsid w:val="00EC4651"/>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192A"/>
    <w:rsid w:val="00F2455D"/>
    <w:rsid w:val="00F25C86"/>
    <w:rsid w:val="00F26AEC"/>
    <w:rsid w:val="00F27EF5"/>
    <w:rsid w:val="00F310F5"/>
    <w:rsid w:val="00F318D4"/>
    <w:rsid w:val="00F3547C"/>
    <w:rsid w:val="00F41535"/>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09EA"/>
    <w:rsid w:val="00FB2BF0"/>
    <w:rsid w:val="00FB5F43"/>
    <w:rsid w:val="00FB61BF"/>
    <w:rsid w:val="00FC0F15"/>
    <w:rsid w:val="00FC1357"/>
    <w:rsid w:val="00FC4130"/>
    <w:rsid w:val="00FC6D71"/>
    <w:rsid w:val="00FD1652"/>
    <w:rsid w:val="00FD310C"/>
    <w:rsid w:val="00FE0B1E"/>
    <w:rsid w:val="00FE0BF5"/>
    <w:rsid w:val="00FE18C3"/>
    <w:rsid w:val="00FE261F"/>
    <w:rsid w:val="00FE4595"/>
    <w:rsid w:val="00FE7E48"/>
    <w:rsid w:val="00FF0748"/>
    <w:rsid w:val="01501EF4"/>
    <w:rsid w:val="037901EC"/>
    <w:rsid w:val="04E93D37"/>
    <w:rsid w:val="058A77BF"/>
    <w:rsid w:val="06C613A5"/>
    <w:rsid w:val="07417D05"/>
    <w:rsid w:val="08627134"/>
    <w:rsid w:val="0A1B6DFB"/>
    <w:rsid w:val="0AD74DAD"/>
    <w:rsid w:val="0C6638AF"/>
    <w:rsid w:val="0C795DD8"/>
    <w:rsid w:val="0D0F22C3"/>
    <w:rsid w:val="0F5C02F2"/>
    <w:rsid w:val="10257686"/>
    <w:rsid w:val="12B15E03"/>
    <w:rsid w:val="12B23BEC"/>
    <w:rsid w:val="131225B8"/>
    <w:rsid w:val="13E75A77"/>
    <w:rsid w:val="144F3CB2"/>
    <w:rsid w:val="1605627C"/>
    <w:rsid w:val="17077A0B"/>
    <w:rsid w:val="18FD6236"/>
    <w:rsid w:val="19503595"/>
    <w:rsid w:val="1AA15311"/>
    <w:rsid w:val="1C3F6317"/>
    <w:rsid w:val="1E9A0AA2"/>
    <w:rsid w:val="1F295D69"/>
    <w:rsid w:val="1F8F51E3"/>
    <w:rsid w:val="1F950EF8"/>
    <w:rsid w:val="20916101"/>
    <w:rsid w:val="21B4120E"/>
    <w:rsid w:val="23447B70"/>
    <w:rsid w:val="24892B95"/>
    <w:rsid w:val="24982AEC"/>
    <w:rsid w:val="260C002D"/>
    <w:rsid w:val="29F07903"/>
    <w:rsid w:val="2ABB2D6C"/>
    <w:rsid w:val="2B031C10"/>
    <w:rsid w:val="2B9C636F"/>
    <w:rsid w:val="2E231A1E"/>
    <w:rsid w:val="2EE8755E"/>
    <w:rsid w:val="31517D5D"/>
    <w:rsid w:val="31E4193D"/>
    <w:rsid w:val="32885630"/>
    <w:rsid w:val="32B062DD"/>
    <w:rsid w:val="32B9542D"/>
    <w:rsid w:val="36212C0E"/>
    <w:rsid w:val="362362E5"/>
    <w:rsid w:val="36C14138"/>
    <w:rsid w:val="39A907A4"/>
    <w:rsid w:val="3A220899"/>
    <w:rsid w:val="3A740687"/>
    <w:rsid w:val="3A8D2FC9"/>
    <w:rsid w:val="3AF235EE"/>
    <w:rsid w:val="3B3718AB"/>
    <w:rsid w:val="3B8F355B"/>
    <w:rsid w:val="3C5131FE"/>
    <w:rsid w:val="3D051BDD"/>
    <w:rsid w:val="3EBB47F3"/>
    <w:rsid w:val="3F1F53E2"/>
    <w:rsid w:val="3F67375C"/>
    <w:rsid w:val="42EA0999"/>
    <w:rsid w:val="43715DD5"/>
    <w:rsid w:val="43C5775E"/>
    <w:rsid w:val="43D45BB3"/>
    <w:rsid w:val="44AB2605"/>
    <w:rsid w:val="45286B7C"/>
    <w:rsid w:val="45403AE7"/>
    <w:rsid w:val="45581FEE"/>
    <w:rsid w:val="48C23845"/>
    <w:rsid w:val="49A15CA8"/>
    <w:rsid w:val="4A9A0462"/>
    <w:rsid w:val="4B47468E"/>
    <w:rsid w:val="531B1514"/>
    <w:rsid w:val="53693483"/>
    <w:rsid w:val="5A182607"/>
    <w:rsid w:val="5A370055"/>
    <w:rsid w:val="5AD14436"/>
    <w:rsid w:val="5AE90017"/>
    <w:rsid w:val="5C705787"/>
    <w:rsid w:val="5E43326A"/>
    <w:rsid w:val="5E9A355E"/>
    <w:rsid w:val="63040955"/>
    <w:rsid w:val="645372F5"/>
    <w:rsid w:val="649158CF"/>
    <w:rsid w:val="65652B39"/>
    <w:rsid w:val="66DC778E"/>
    <w:rsid w:val="68E94B8A"/>
    <w:rsid w:val="6928431C"/>
    <w:rsid w:val="69932ABF"/>
    <w:rsid w:val="6F0F37FB"/>
    <w:rsid w:val="70011EAC"/>
    <w:rsid w:val="728243B1"/>
    <w:rsid w:val="7451237E"/>
    <w:rsid w:val="76DF5DD2"/>
    <w:rsid w:val="799E3EDB"/>
    <w:rsid w:val="7B760033"/>
    <w:rsid w:val="7C9B1C2B"/>
    <w:rsid w:val="7EA84BB0"/>
    <w:rsid w:val="7F915C87"/>
    <w:rsid w:val="7FB33028"/>
    <w:rsid w:val="7FFA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4"/>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widowControl/>
      <w:tabs>
        <w:tab w:val="left" w:pos="7150"/>
      </w:tabs>
      <w:jc w:val="center"/>
    </w:pPr>
    <w:rPr>
      <w:rFonts w:ascii="Verdana" w:hAnsi="Verdana"/>
      <w:color w:val="000000"/>
    </w:rPr>
  </w:style>
  <w:style w:type="paragraph" w:styleId="7">
    <w:name w:val="Body Text"/>
    <w:basedOn w:val="1"/>
    <w:link w:val="22"/>
    <w:qFormat/>
    <w:uiPriority w:val="0"/>
    <w:rPr>
      <w:rFonts w:ascii="宋体" w:hAnsi="宋体" w:eastAsia="仿宋_GB2312" w:cs="Courier New"/>
      <w:snapToGrid w:val="0"/>
      <w:color w:val="000000"/>
      <w:kern w:val="24"/>
      <w:sz w:val="24"/>
      <w:szCs w:val="20"/>
    </w:rPr>
  </w:style>
  <w:style w:type="paragraph" w:styleId="8">
    <w:name w:val="Body Text Indent"/>
    <w:basedOn w:val="1"/>
    <w:link w:val="29"/>
    <w:semiHidden/>
    <w:unhideWhenUsed/>
    <w:qFormat/>
    <w:uiPriority w:val="99"/>
    <w:pPr>
      <w:spacing w:after="120"/>
      <w:ind w:left="420" w:leftChars="200"/>
    </w:pPr>
  </w:style>
  <w:style w:type="paragraph" w:styleId="9">
    <w:name w:val="Plain Text"/>
    <w:basedOn w:val="1"/>
    <w:link w:val="23"/>
    <w:qFormat/>
    <w:uiPriority w:val="0"/>
    <w:rPr>
      <w:rFonts w:ascii="宋体" w:hAnsi="Courier New" w:cs="Courier New"/>
      <w:snapToGrid w:val="0"/>
      <w:color w:val="000000"/>
      <w:kern w:val="0"/>
      <w:szCs w:val="21"/>
    </w:rPr>
  </w:style>
  <w:style w:type="paragraph" w:styleId="10">
    <w:name w:val="Date"/>
    <w:basedOn w:val="1"/>
    <w:next w:val="1"/>
    <w:link w:val="26"/>
    <w:unhideWhenUsed/>
    <w:qFormat/>
    <w:uiPriority w:val="99"/>
    <w:pPr>
      <w:ind w:left="100" w:leftChars="2500"/>
    </w:pPr>
  </w:style>
  <w:style w:type="paragraph" w:styleId="11">
    <w:name w:val="Balloon Text"/>
    <w:basedOn w:val="1"/>
    <w:link w:val="27"/>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Emphasis"/>
    <w:qFormat/>
    <w:uiPriority w:val="20"/>
    <w:rPr>
      <w:i/>
      <w:iCs/>
    </w:rPr>
  </w:style>
  <w:style w:type="character" w:styleId="19">
    <w:name w:val="Hyperlink"/>
    <w:unhideWhenUsed/>
    <w:qFormat/>
    <w:uiPriority w:val="99"/>
    <w:rPr>
      <w:color w:val="0000FF"/>
      <w:u w:val="single"/>
    </w:rPr>
  </w:style>
  <w:style w:type="character" w:customStyle="1" w:styleId="20">
    <w:name w:val="NormalCharacter"/>
    <w:uiPriority w:val="0"/>
  </w:style>
  <w:style w:type="character" w:customStyle="1" w:styleId="21">
    <w:name w:val="页眉 Char"/>
    <w:link w:val="13"/>
    <w:qFormat/>
    <w:uiPriority w:val="99"/>
    <w:rPr>
      <w:kern w:val="2"/>
      <w:sz w:val="18"/>
      <w:szCs w:val="18"/>
    </w:rPr>
  </w:style>
  <w:style w:type="character" w:customStyle="1" w:styleId="22">
    <w:name w:val="正文文本 Char"/>
    <w:link w:val="7"/>
    <w:qFormat/>
    <w:uiPriority w:val="0"/>
    <w:rPr>
      <w:rFonts w:ascii="宋体" w:hAnsi="宋体" w:eastAsia="仿宋_GB2312" w:cs="Courier New"/>
      <w:snapToGrid w:val="0"/>
      <w:color w:val="000000"/>
      <w:kern w:val="24"/>
      <w:sz w:val="24"/>
    </w:rPr>
  </w:style>
  <w:style w:type="character" w:customStyle="1" w:styleId="23">
    <w:name w:val="纯文本 Char"/>
    <w:link w:val="9"/>
    <w:qFormat/>
    <w:uiPriority w:val="0"/>
    <w:rPr>
      <w:rFonts w:ascii="宋体" w:hAnsi="Courier New" w:cs="Courier New"/>
      <w:snapToGrid w:val="0"/>
      <w:color w:val="000000"/>
      <w:sz w:val="21"/>
      <w:szCs w:val="21"/>
    </w:rPr>
  </w:style>
  <w:style w:type="character" w:customStyle="1" w:styleId="24">
    <w:name w:val="标题 4 Char"/>
    <w:link w:val="5"/>
    <w:qFormat/>
    <w:uiPriority w:val="0"/>
    <w:rPr>
      <w:rFonts w:ascii="Arial" w:hAnsi="Arial" w:eastAsia="黑体"/>
      <w:b/>
      <w:bCs/>
      <w:sz w:val="28"/>
      <w:szCs w:val="28"/>
    </w:rPr>
  </w:style>
  <w:style w:type="character" w:customStyle="1" w:styleId="25">
    <w:name w:val="页脚 Char"/>
    <w:link w:val="12"/>
    <w:qFormat/>
    <w:uiPriority w:val="99"/>
    <w:rPr>
      <w:rFonts w:ascii="Calibri" w:hAnsi="Calibri" w:eastAsia="宋体" w:cs="Times New Roman"/>
      <w:sz w:val="18"/>
      <w:szCs w:val="18"/>
    </w:rPr>
  </w:style>
  <w:style w:type="character" w:customStyle="1" w:styleId="26">
    <w:name w:val="日期 Char"/>
    <w:link w:val="10"/>
    <w:semiHidden/>
    <w:qFormat/>
    <w:uiPriority w:val="99"/>
    <w:rPr>
      <w:rFonts w:ascii="Calibri" w:hAnsi="Calibri" w:eastAsia="宋体" w:cs="Times New Roman"/>
    </w:rPr>
  </w:style>
  <w:style w:type="character" w:customStyle="1" w:styleId="27">
    <w:name w:val="批注框文本 Char"/>
    <w:link w:val="11"/>
    <w:semiHidden/>
    <w:qFormat/>
    <w:uiPriority w:val="99"/>
    <w:rPr>
      <w:kern w:val="2"/>
      <w:sz w:val="18"/>
      <w:szCs w:val="18"/>
    </w:rPr>
  </w:style>
  <w:style w:type="paragraph" w:customStyle="1" w:styleId="28">
    <w:name w:val="默认段落字体 Para Char Char Char Char"/>
    <w:basedOn w:val="1"/>
    <w:qFormat/>
    <w:uiPriority w:val="0"/>
    <w:rPr>
      <w:rFonts w:ascii="Times New Roman" w:hAnsi="Times New Roman"/>
      <w:szCs w:val="24"/>
    </w:rPr>
  </w:style>
  <w:style w:type="character" w:customStyle="1" w:styleId="29">
    <w:name w:val="正文文本缩进 Char"/>
    <w:link w:val="8"/>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18</Pages>
  <Words>1045</Words>
  <Characters>5963</Characters>
  <Lines>49</Lines>
  <Paragraphs>13</Paragraphs>
  <TotalTime>18</TotalTime>
  <ScaleCrop>false</ScaleCrop>
  <LinksUpToDate>false</LinksUpToDate>
  <CharactersWithSpaces>6995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2020-05-11T06:13:00Z</dcterms:created>
  <dc:creator>LXH</dc:creator>
  <cp:lastModifiedBy>雨天路口</cp:lastModifiedBy>
  <cp:lastPrinted>2019-11-14T06:20:00Z</cp:lastPrinted>
  <dcterms:modified xsi:type="dcterms:W3CDTF">2020-07-24T02:03:46Z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